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77BF" w14:textId="77777777" w:rsidR="005079EC" w:rsidRPr="004744BD" w:rsidRDefault="005079EC" w:rsidP="005079EC">
      <w:pPr>
        <w:spacing w:line="276" w:lineRule="auto"/>
        <w:jc w:val="center"/>
        <w:rPr>
          <w:sz w:val="22"/>
          <w:szCs w:val="22"/>
        </w:rPr>
      </w:pPr>
      <w:bookmarkStart w:id="0" w:name="_Toc469433540"/>
      <w:r w:rsidRPr="004744BD">
        <w:rPr>
          <w:sz w:val="22"/>
          <w:szCs w:val="22"/>
        </w:rPr>
        <w:t>UNIVERSIDADE DE SÃO PAULO</w:t>
      </w:r>
    </w:p>
    <w:p w14:paraId="18D792A9" w14:textId="77777777" w:rsidR="005079EC" w:rsidRPr="004744BD" w:rsidRDefault="005079EC" w:rsidP="005079EC">
      <w:pPr>
        <w:spacing w:line="276" w:lineRule="auto"/>
        <w:jc w:val="center"/>
        <w:rPr>
          <w:sz w:val="22"/>
          <w:szCs w:val="22"/>
        </w:rPr>
      </w:pPr>
      <w:r w:rsidRPr="004744BD">
        <w:rPr>
          <w:sz w:val="22"/>
          <w:szCs w:val="22"/>
        </w:rPr>
        <w:t xml:space="preserve">PROGRAMA DE PÓS-GRADUAÇÃO EM “RECURSOS FLORESTAIS” </w:t>
      </w:r>
    </w:p>
    <w:p w14:paraId="354C9166" w14:textId="77777777" w:rsidR="005079EC" w:rsidRDefault="005079EC" w:rsidP="005079EC">
      <w:pPr>
        <w:spacing w:line="276" w:lineRule="auto"/>
        <w:jc w:val="center"/>
      </w:pPr>
    </w:p>
    <w:p w14:paraId="5572B5E5" w14:textId="77777777" w:rsidR="005079EC" w:rsidRDefault="005079EC" w:rsidP="005079EC">
      <w:pPr>
        <w:spacing w:line="276" w:lineRule="auto"/>
        <w:jc w:val="center"/>
      </w:pPr>
    </w:p>
    <w:p w14:paraId="2CB8E2BE" w14:textId="77777777" w:rsidR="005079EC" w:rsidRDefault="005079EC" w:rsidP="005079EC">
      <w:pPr>
        <w:spacing w:line="276" w:lineRule="auto"/>
        <w:jc w:val="center"/>
      </w:pPr>
    </w:p>
    <w:p w14:paraId="4BDF509D" w14:textId="77777777" w:rsidR="005079EC" w:rsidRDefault="005079EC" w:rsidP="005079EC">
      <w:pPr>
        <w:spacing w:line="276" w:lineRule="auto"/>
        <w:jc w:val="center"/>
      </w:pPr>
    </w:p>
    <w:p w14:paraId="51247CB6" w14:textId="77777777" w:rsidR="005079EC" w:rsidRDefault="005079EC" w:rsidP="005079EC">
      <w:pPr>
        <w:spacing w:line="276" w:lineRule="auto"/>
        <w:jc w:val="center"/>
      </w:pPr>
    </w:p>
    <w:p w14:paraId="7FD13E9C" w14:textId="77777777" w:rsidR="005079EC" w:rsidRPr="00D77168" w:rsidRDefault="005079EC" w:rsidP="005079EC">
      <w:pPr>
        <w:spacing w:line="276" w:lineRule="auto"/>
        <w:jc w:val="center"/>
      </w:pPr>
    </w:p>
    <w:p w14:paraId="195BE77A" w14:textId="77777777" w:rsidR="005079EC" w:rsidRPr="00D77168" w:rsidRDefault="005079EC" w:rsidP="005079EC">
      <w:pPr>
        <w:spacing w:line="276" w:lineRule="auto"/>
        <w:jc w:val="center"/>
        <w:rPr>
          <w:b/>
          <w:caps/>
        </w:rPr>
      </w:pPr>
    </w:p>
    <w:p w14:paraId="75CBF016" w14:textId="77777777" w:rsidR="005079EC" w:rsidRDefault="005079EC" w:rsidP="005079EC">
      <w:pPr>
        <w:rPr>
          <w:b/>
          <w:caps/>
        </w:rPr>
      </w:pPr>
    </w:p>
    <w:p w14:paraId="2BC661BF" w14:textId="77777777" w:rsidR="005079EC" w:rsidRDefault="005079EC" w:rsidP="005079EC">
      <w:pPr>
        <w:rPr>
          <w:b/>
          <w:caps/>
        </w:rPr>
      </w:pPr>
    </w:p>
    <w:p w14:paraId="74A0A9A3" w14:textId="77777777" w:rsidR="005079EC" w:rsidRDefault="005079EC" w:rsidP="005079EC">
      <w:pPr>
        <w:rPr>
          <w:b/>
          <w:caps/>
        </w:rPr>
      </w:pPr>
    </w:p>
    <w:p w14:paraId="5298B678" w14:textId="77777777" w:rsidR="005079EC" w:rsidRDefault="005079EC" w:rsidP="005079EC">
      <w:pPr>
        <w:rPr>
          <w:b/>
          <w:caps/>
        </w:rPr>
      </w:pPr>
    </w:p>
    <w:p w14:paraId="479CF4EE" w14:textId="77777777" w:rsidR="005079EC" w:rsidRDefault="005079EC" w:rsidP="005079EC">
      <w:pPr>
        <w:rPr>
          <w:b/>
          <w:caps/>
        </w:rPr>
      </w:pPr>
    </w:p>
    <w:p w14:paraId="6B6D3868" w14:textId="77777777" w:rsidR="005079EC" w:rsidRPr="00D77168" w:rsidRDefault="005079EC" w:rsidP="005079EC">
      <w:pPr>
        <w:rPr>
          <w:b/>
          <w:caps/>
        </w:rPr>
      </w:pPr>
    </w:p>
    <w:p w14:paraId="5819E7D7" w14:textId="77777777" w:rsidR="005079EC" w:rsidRPr="00EE1D8C" w:rsidRDefault="005079EC" w:rsidP="005079EC">
      <w:pPr>
        <w:tabs>
          <w:tab w:val="left" w:pos="2093"/>
        </w:tabs>
        <w:spacing w:line="480" w:lineRule="auto"/>
        <w:rPr>
          <w:b/>
          <w:caps/>
          <w:sz w:val="24"/>
          <w:szCs w:val="24"/>
        </w:rPr>
      </w:pPr>
      <w:r w:rsidRPr="00D77168">
        <w:rPr>
          <w:b/>
          <w:caps/>
        </w:rPr>
        <w:tab/>
      </w:r>
    </w:p>
    <w:p w14:paraId="74DFF8E5" w14:textId="77777777" w:rsidR="005079EC" w:rsidRPr="00EE1D8C" w:rsidRDefault="00EE1D8C" w:rsidP="00EE1D8C">
      <w:pPr>
        <w:tabs>
          <w:tab w:val="left" w:pos="5880"/>
        </w:tabs>
        <w:spacing w:line="48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14:paraId="3D875161" w14:textId="6D88E1E7" w:rsidR="005079EC" w:rsidRPr="004744BD" w:rsidRDefault="0064064C" w:rsidP="0064064C">
      <w:pPr>
        <w:spacing w:line="480" w:lineRule="auto"/>
        <w:jc w:val="center"/>
        <w:rPr>
          <w:b/>
          <w:sz w:val="24"/>
          <w:szCs w:val="24"/>
        </w:rPr>
      </w:pPr>
      <w:r w:rsidRPr="004744BD">
        <w:rPr>
          <w:b/>
          <w:sz w:val="24"/>
          <w:szCs w:val="24"/>
        </w:rPr>
        <w:t>FICHAMENTO DO LIVRO:</w:t>
      </w:r>
    </w:p>
    <w:p w14:paraId="374F39EE" w14:textId="00C6E41D" w:rsidR="0064064C" w:rsidRPr="004744BD" w:rsidRDefault="00F402A4" w:rsidP="00F402A4">
      <w:pPr>
        <w:spacing w:line="480" w:lineRule="auto"/>
        <w:jc w:val="center"/>
        <w:rPr>
          <w:b/>
          <w:sz w:val="24"/>
          <w:szCs w:val="24"/>
        </w:rPr>
      </w:pPr>
      <w:r w:rsidRPr="004744BD">
        <w:rPr>
          <w:b/>
          <w:sz w:val="24"/>
          <w:szCs w:val="24"/>
        </w:rPr>
        <w:t xml:space="preserve">O </w:t>
      </w:r>
      <w:r w:rsidRPr="004744BD">
        <w:rPr>
          <w:b/>
          <w:sz w:val="24"/>
          <w:szCs w:val="24"/>
        </w:rPr>
        <w:t>ENSINO UNIVERSITÁRIO: SEU CENÁRIO E SEUS PROTAGONISTAS</w:t>
      </w:r>
    </w:p>
    <w:p w14:paraId="231AD3EC" w14:textId="797A2472" w:rsidR="0064064C" w:rsidRPr="004744BD" w:rsidRDefault="0064064C" w:rsidP="004744BD">
      <w:pPr>
        <w:spacing w:line="480" w:lineRule="auto"/>
        <w:jc w:val="center"/>
        <w:rPr>
          <w:b/>
          <w:sz w:val="24"/>
          <w:szCs w:val="24"/>
        </w:rPr>
      </w:pPr>
      <w:r w:rsidRPr="004744BD">
        <w:rPr>
          <w:b/>
          <w:sz w:val="24"/>
          <w:szCs w:val="24"/>
        </w:rPr>
        <w:t xml:space="preserve">Autores: </w:t>
      </w:r>
      <w:r w:rsidR="004744BD" w:rsidRPr="004744BD">
        <w:rPr>
          <w:b/>
          <w:sz w:val="24"/>
          <w:szCs w:val="24"/>
        </w:rPr>
        <w:t>Miguel A.</w:t>
      </w:r>
      <w:r w:rsidR="004744BD" w:rsidRPr="004744BD">
        <w:rPr>
          <w:b/>
          <w:sz w:val="24"/>
          <w:szCs w:val="24"/>
        </w:rPr>
        <w:t xml:space="preserve"> </w:t>
      </w:r>
      <w:proofErr w:type="spellStart"/>
      <w:r w:rsidR="004744BD">
        <w:rPr>
          <w:b/>
          <w:sz w:val="24"/>
          <w:szCs w:val="24"/>
        </w:rPr>
        <w:t>Zabalza</w:t>
      </w:r>
      <w:proofErr w:type="spellEnd"/>
    </w:p>
    <w:p w14:paraId="2764BC19" w14:textId="3FE436CC" w:rsidR="005079EC" w:rsidRDefault="005079EC" w:rsidP="005079EC">
      <w:pPr>
        <w:spacing w:line="480" w:lineRule="auto"/>
        <w:jc w:val="both"/>
        <w:rPr>
          <w:b/>
        </w:rPr>
      </w:pPr>
    </w:p>
    <w:p w14:paraId="311710EB" w14:textId="3016B875" w:rsidR="004744BD" w:rsidRDefault="004744BD" w:rsidP="005079EC">
      <w:pPr>
        <w:spacing w:line="480" w:lineRule="auto"/>
        <w:jc w:val="both"/>
        <w:rPr>
          <w:b/>
        </w:rPr>
      </w:pPr>
    </w:p>
    <w:p w14:paraId="72AF30E6" w14:textId="77777777" w:rsidR="004744BD" w:rsidRPr="00EE1D8C" w:rsidRDefault="004744BD" w:rsidP="005079EC">
      <w:pPr>
        <w:spacing w:line="480" w:lineRule="auto"/>
        <w:jc w:val="both"/>
        <w:rPr>
          <w:b/>
        </w:rPr>
      </w:pPr>
    </w:p>
    <w:p w14:paraId="73E17408" w14:textId="6A49B2B2" w:rsidR="0064064C" w:rsidRPr="004744BD" w:rsidRDefault="004744BD" w:rsidP="004744BD">
      <w:pPr>
        <w:spacing w:line="276" w:lineRule="auto"/>
        <w:jc w:val="center"/>
        <w:rPr>
          <w:sz w:val="22"/>
          <w:szCs w:val="22"/>
        </w:rPr>
      </w:pPr>
      <w:r w:rsidRPr="004744BD">
        <w:rPr>
          <w:sz w:val="22"/>
          <w:szCs w:val="22"/>
        </w:rPr>
        <w:t>GRUPO 5:</w:t>
      </w:r>
    </w:p>
    <w:p w14:paraId="053A3870" w14:textId="77777777" w:rsidR="0064064C" w:rsidRPr="004744BD" w:rsidRDefault="0064064C" w:rsidP="005079EC">
      <w:pPr>
        <w:spacing w:line="276" w:lineRule="auto"/>
        <w:jc w:val="right"/>
        <w:rPr>
          <w:sz w:val="22"/>
          <w:szCs w:val="22"/>
        </w:rPr>
      </w:pPr>
    </w:p>
    <w:p w14:paraId="3871AFFC" w14:textId="287FFCEB" w:rsidR="00F402A4" w:rsidRPr="004744BD" w:rsidRDefault="00F402A4" w:rsidP="00F402A4">
      <w:pPr>
        <w:spacing w:line="276" w:lineRule="auto"/>
        <w:jc w:val="center"/>
        <w:rPr>
          <w:sz w:val="22"/>
          <w:szCs w:val="22"/>
        </w:rPr>
      </w:pPr>
      <w:r w:rsidRPr="004744BD">
        <w:rPr>
          <w:sz w:val="22"/>
          <w:szCs w:val="22"/>
        </w:rPr>
        <w:t>Gabriela Santos da Silva</w:t>
      </w:r>
    </w:p>
    <w:p w14:paraId="0687CCDC" w14:textId="11A0E0B0" w:rsidR="00F402A4" w:rsidRPr="004744BD" w:rsidRDefault="00F402A4" w:rsidP="00F402A4">
      <w:pPr>
        <w:spacing w:line="276" w:lineRule="auto"/>
        <w:jc w:val="center"/>
        <w:rPr>
          <w:sz w:val="22"/>
          <w:szCs w:val="22"/>
        </w:rPr>
      </w:pPr>
      <w:r w:rsidRPr="004744BD">
        <w:rPr>
          <w:sz w:val="22"/>
          <w:szCs w:val="22"/>
        </w:rPr>
        <w:t>Gláucia Regina Santos</w:t>
      </w:r>
    </w:p>
    <w:p w14:paraId="14255215" w14:textId="63D88206" w:rsidR="00F402A4" w:rsidRPr="004744BD" w:rsidRDefault="00F402A4" w:rsidP="00F402A4">
      <w:pPr>
        <w:spacing w:line="276" w:lineRule="auto"/>
        <w:jc w:val="center"/>
        <w:rPr>
          <w:sz w:val="22"/>
          <w:szCs w:val="22"/>
        </w:rPr>
      </w:pPr>
      <w:proofErr w:type="spellStart"/>
      <w:r w:rsidRPr="004744BD">
        <w:rPr>
          <w:sz w:val="22"/>
          <w:szCs w:val="22"/>
        </w:rPr>
        <w:t>Kenia</w:t>
      </w:r>
      <w:proofErr w:type="spellEnd"/>
      <w:r w:rsidRPr="004744BD">
        <w:rPr>
          <w:sz w:val="22"/>
          <w:szCs w:val="22"/>
        </w:rPr>
        <w:t xml:space="preserve"> Fernanda Aguiar Santos</w:t>
      </w:r>
    </w:p>
    <w:p w14:paraId="0B69122C" w14:textId="1E85F56E" w:rsidR="00F402A4" w:rsidRPr="004744BD" w:rsidRDefault="00F402A4" w:rsidP="00F402A4">
      <w:pPr>
        <w:spacing w:line="276" w:lineRule="auto"/>
        <w:jc w:val="center"/>
        <w:rPr>
          <w:sz w:val="22"/>
          <w:szCs w:val="22"/>
        </w:rPr>
      </w:pPr>
      <w:r w:rsidRPr="004744BD">
        <w:rPr>
          <w:sz w:val="22"/>
          <w:szCs w:val="22"/>
        </w:rPr>
        <w:t xml:space="preserve">Leticia </w:t>
      </w:r>
      <w:proofErr w:type="spellStart"/>
      <w:r w:rsidRPr="004744BD">
        <w:rPr>
          <w:sz w:val="22"/>
          <w:szCs w:val="22"/>
        </w:rPr>
        <w:t>Chedid</w:t>
      </w:r>
      <w:proofErr w:type="spellEnd"/>
      <w:r w:rsidRPr="004744BD">
        <w:rPr>
          <w:sz w:val="22"/>
          <w:szCs w:val="22"/>
        </w:rPr>
        <w:t xml:space="preserve"> </w:t>
      </w:r>
      <w:proofErr w:type="spellStart"/>
      <w:r w:rsidRPr="004744BD">
        <w:rPr>
          <w:sz w:val="22"/>
          <w:szCs w:val="22"/>
        </w:rPr>
        <w:t>Seidinger</w:t>
      </w:r>
      <w:proofErr w:type="spellEnd"/>
    </w:p>
    <w:p w14:paraId="5E90D389" w14:textId="7D49986A" w:rsidR="005079EC" w:rsidRPr="004744BD" w:rsidRDefault="005079EC" w:rsidP="00F402A4">
      <w:pPr>
        <w:spacing w:line="276" w:lineRule="auto"/>
        <w:jc w:val="center"/>
        <w:rPr>
          <w:sz w:val="24"/>
          <w:szCs w:val="24"/>
        </w:rPr>
      </w:pPr>
    </w:p>
    <w:p w14:paraId="75102168" w14:textId="77777777" w:rsidR="005079EC" w:rsidRPr="00EE1D8C" w:rsidRDefault="005079EC" w:rsidP="005079EC">
      <w:pPr>
        <w:spacing w:line="480" w:lineRule="auto"/>
        <w:jc w:val="both"/>
      </w:pPr>
    </w:p>
    <w:p w14:paraId="06DE8F8A" w14:textId="77777777" w:rsidR="005079EC" w:rsidRPr="00D77168" w:rsidRDefault="005079EC" w:rsidP="005079EC">
      <w:pPr>
        <w:spacing w:line="480" w:lineRule="auto"/>
        <w:jc w:val="both"/>
        <w:rPr>
          <w:b/>
        </w:rPr>
      </w:pPr>
    </w:p>
    <w:p w14:paraId="2335653F" w14:textId="77777777" w:rsidR="005079EC" w:rsidRDefault="005079EC" w:rsidP="005079EC">
      <w:pPr>
        <w:spacing w:line="480" w:lineRule="auto"/>
        <w:jc w:val="both"/>
        <w:rPr>
          <w:b/>
        </w:rPr>
      </w:pPr>
    </w:p>
    <w:p w14:paraId="5279D9A2" w14:textId="77777777" w:rsidR="005079EC" w:rsidRDefault="005079EC" w:rsidP="005079EC">
      <w:pPr>
        <w:spacing w:line="480" w:lineRule="auto"/>
        <w:jc w:val="both"/>
        <w:rPr>
          <w:b/>
        </w:rPr>
      </w:pPr>
    </w:p>
    <w:p w14:paraId="6122D641" w14:textId="4E3E0E00" w:rsidR="00FB664D" w:rsidRDefault="00FB664D" w:rsidP="005079EC">
      <w:pPr>
        <w:spacing w:line="360" w:lineRule="auto"/>
        <w:jc w:val="center"/>
      </w:pPr>
    </w:p>
    <w:p w14:paraId="3DABEB45" w14:textId="77777777" w:rsidR="004744BD" w:rsidRDefault="004744BD" w:rsidP="005079EC">
      <w:pPr>
        <w:spacing w:line="360" w:lineRule="auto"/>
        <w:jc w:val="center"/>
      </w:pPr>
    </w:p>
    <w:p w14:paraId="55C1299E" w14:textId="77777777" w:rsidR="00F402A4" w:rsidRDefault="00F402A4" w:rsidP="005079EC">
      <w:pPr>
        <w:spacing w:line="360" w:lineRule="auto"/>
        <w:jc w:val="center"/>
      </w:pPr>
    </w:p>
    <w:p w14:paraId="00C3E1CE" w14:textId="2B57C4BA" w:rsidR="005079EC" w:rsidRPr="00F402A4" w:rsidRDefault="005079EC" w:rsidP="005079EC">
      <w:pPr>
        <w:spacing w:line="360" w:lineRule="auto"/>
        <w:jc w:val="center"/>
        <w:rPr>
          <w:sz w:val="22"/>
          <w:szCs w:val="22"/>
        </w:rPr>
      </w:pPr>
      <w:r w:rsidRPr="00F402A4">
        <w:rPr>
          <w:sz w:val="22"/>
          <w:szCs w:val="22"/>
        </w:rPr>
        <w:t>PIRACICABA</w:t>
      </w:r>
    </w:p>
    <w:p w14:paraId="088715F8" w14:textId="37B7B4BF" w:rsidR="005079EC" w:rsidRDefault="00FB664D" w:rsidP="005079EC">
      <w:pPr>
        <w:spacing w:line="360" w:lineRule="auto"/>
        <w:jc w:val="center"/>
        <w:rPr>
          <w:sz w:val="22"/>
          <w:szCs w:val="22"/>
        </w:rPr>
      </w:pPr>
      <w:r w:rsidRPr="00F402A4">
        <w:rPr>
          <w:sz w:val="22"/>
          <w:szCs w:val="22"/>
        </w:rPr>
        <w:t>2019</w:t>
      </w:r>
    </w:p>
    <w:p w14:paraId="1D9DDFA0" w14:textId="4A6E0FF8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sdt>
      <w:sdtPr>
        <w:rPr>
          <w:sz w:val="22"/>
          <w:szCs w:val="22"/>
        </w:rPr>
        <w:id w:val="-104312296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274E6FB1" w14:textId="66D29E1B" w:rsidR="004744BD" w:rsidRDefault="004744BD" w:rsidP="004744BD">
          <w:pPr>
            <w:pStyle w:val="CabealhodoSumrio"/>
            <w:jc w:val="center"/>
            <w:rPr>
              <w:rFonts w:ascii="Times New Roman" w:hAnsi="Times New Roman" w:cs="Times New Roman"/>
              <w:color w:val="auto"/>
            </w:rPr>
          </w:pPr>
          <w:r w:rsidRPr="004744BD">
            <w:rPr>
              <w:rFonts w:ascii="Times New Roman" w:hAnsi="Times New Roman" w:cs="Times New Roman"/>
              <w:color w:val="auto"/>
            </w:rPr>
            <w:t>Sumário</w:t>
          </w:r>
        </w:p>
        <w:p w14:paraId="390864D3" w14:textId="3883DE2B" w:rsidR="004744BD" w:rsidRDefault="004744BD" w:rsidP="004744BD"/>
        <w:p w14:paraId="35EEDBE2" w14:textId="77777777" w:rsidR="004744BD" w:rsidRPr="004744BD" w:rsidRDefault="004744BD" w:rsidP="004744BD"/>
        <w:p w14:paraId="6A8D54A1" w14:textId="044C9A75" w:rsidR="004744BD" w:rsidRPr="004744BD" w:rsidRDefault="004744B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744BD">
            <w:rPr>
              <w:sz w:val="24"/>
              <w:szCs w:val="24"/>
            </w:rPr>
            <w:fldChar w:fldCharType="begin"/>
          </w:r>
          <w:r w:rsidRPr="004744BD">
            <w:rPr>
              <w:sz w:val="24"/>
              <w:szCs w:val="24"/>
            </w:rPr>
            <w:instrText xml:space="preserve"> TOC \o "1-3" \h \z \u </w:instrText>
          </w:r>
          <w:r w:rsidRPr="004744BD">
            <w:rPr>
              <w:sz w:val="24"/>
              <w:szCs w:val="24"/>
            </w:rPr>
            <w:fldChar w:fldCharType="separate"/>
          </w:r>
          <w:hyperlink w:anchor="_Toc7027610" w:history="1">
            <w:r w:rsidRPr="004744BD">
              <w:rPr>
                <w:rStyle w:val="Hyperlink"/>
                <w:b/>
                <w:noProof/>
                <w:sz w:val="24"/>
                <w:szCs w:val="24"/>
              </w:rPr>
              <w:t>1.</w:t>
            </w:r>
            <w:r w:rsidRPr="004744B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4744BD">
              <w:rPr>
                <w:rStyle w:val="Hyperlink"/>
                <w:b/>
                <w:noProof/>
                <w:sz w:val="24"/>
                <w:szCs w:val="24"/>
              </w:rPr>
              <w:t>FICHAMENTO:</w:t>
            </w:r>
            <w:r w:rsidRPr="004744BD">
              <w:rPr>
                <w:noProof/>
                <w:webHidden/>
                <w:sz w:val="24"/>
                <w:szCs w:val="24"/>
              </w:rPr>
              <w:tab/>
            </w:r>
            <w:r w:rsidRPr="004744BD">
              <w:rPr>
                <w:noProof/>
                <w:webHidden/>
                <w:sz w:val="24"/>
                <w:szCs w:val="24"/>
              </w:rPr>
              <w:fldChar w:fldCharType="begin"/>
            </w:r>
            <w:r w:rsidRPr="004744BD">
              <w:rPr>
                <w:noProof/>
                <w:webHidden/>
                <w:sz w:val="24"/>
                <w:szCs w:val="24"/>
              </w:rPr>
              <w:instrText xml:space="preserve"> PAGEREF _Toc7027610 \h </w:instrText>
            </w:r>
            <w:r w:rsidRPr="004744BD">
              <w:rPr>
                <w:noProof/>
                <w:webHidden/>
                <w:sz w:val="24"/>
                <w:szCs w:val="24"/>
              </w:rPr>
            </w:r>
            <w:r w:rsidRPr="004744B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744BD">
              <w:rPr>
                <w:noProof/>
                <w:webHidden/>
                <w:sz w:val="24"/>
                <w:szCs w:val="24"/>
              </w:rPr>
              <w:t>3</w:t>
            </w:r>
            <w:r w:rsidRPr="004744B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F494CE" w14:textId="793A6FAA" w:rsidR="004744BD" w:rsidRPr="004744BD" w:rsidRDefault="004744BD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7027611" w:history="1">
            <w:r w:rsidRPr="004744BD">
              <w:rPr>
                <w:rStyle w:val="Hyperlink"/>
                <w:b/>
                <w:i/>
                <w:noProof/>
                <w:sz w:val="24"/>
                <w:szCs w:val="24"/>
              </w:rPr>
              <w:t>2.</w:t>
            </w:r>
            <w:r w:rsidRPr="004744B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4744BD">
              <w:rPr>
                <w:rStyle w:val="Hyperlink"/>
                <w:b/>
                <w:noProof/>
                <w:sz w:val="24"/>
                <w:szCs w:val="24"/>
              </w:rPr>
              <w:t>ANÁLISE DA OBRA:</w:t>
            </w:r>
            <w:r w:rsidRPr="004744BD">
              <w:rPr>
                <w:noProof/>
                <w:webHidden/>
                <w:sz w:val="24"/>
                <w:szCs w:val="24"/>
              </w:rPr>
              <w:tab/>
            </w:r>
            <w:r w:rsidRPr="004744BD">
              <w:rPr>
                <w:noProof/>
                <w:webHidden/>
                <w:sz w:val="24"/>
                <w:szCs w:val="24"/>
              </w:rPr>
              <w:fldChar w:fldCharType="begin"/>
            </w:r>
            <w:r w:rsidRPr="004744BD">
              <w:rPr>
                <w:noProof/>
                <w:webHidden/>
                <w:sz w:val="24"/>
                <w:szCs w:val="24"/>
              </w:rPr>
              <w:instrText xml:space="preserve"> PAGEREF _Toc7027611 \h </w:instrText>
            </w:r>
            <w:r w:rsidRPr="004744BD">
              <w:rPr>
                <w:noProof/>
                <w:webHidden/>
                <w:sz w:val="24"/>
                <w:szCs w:val="24"/>
              </w:rPr>
            </w:r>
            <w:r w:rsidRPr="004744BD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744BD">
              <w:rPr>
                <w:noProof/>
                <w:webHidden/>
                <w:sz w:val="24"/>
                <w:szCs w:val="24"/>
              </w:rPr>
              <w:t>3</w:t>
            </w:r>
            <w:r w:rsidRPr="004744B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D8764" w14:textId="5FBBF4FA" w:rsidR="004744BD" w:rsidRPr="004744BD" w:rsidRDefault="004744BD" w:rsidP="004744BD">
          <w:pPr>
            <w:pStyle w:val="Sumrio2"/>
            <w:rPr>
              <w:rFonts w:asciiTheme="minorHAnsi" w:eastAsiaTheme="minorEastAsia" w:hAnsiTheme="minorHAnsi" w:cstheme="minorBidi"/>
            </w:rPr>
          </w:pPr>
          <w:hyperlink w:anchor="_Toc7027612" w:history="1">
            <w:r w:rsidRPr="004744BD">
              <w:rPr>
                <w:rStyle w:val="Hyperlink"/>
                <w:b/>
                <w:i/>
              </w:rPr>
              <w:t>2.1</w:t>
            </w:r>
            <w:r w:rsidRPr="004744BD">
              <w:rPr>
                <w:rFonts w:asciiTheme="minorHAnsi" w:eastAsiaTheme="minorEastAsia" w:hAnsiTheme="minorHAnsi" w:cstheme="minorBidi"/>
              </w:rPr>
              <w:tab/>
            </w:r>
            <w:r w:rsidRPr="004744BD">
              <w:rPr>
                <w:rStyle w:val="Hyperlink"/>
                <w:b/>
                <w:i/>
              </w:rPr>
              <w:t>Capítulo 1. A universidade: cenário específico e especializado de formação</w:t>
            </w:r>
            <w:r w:rsidRPr="004744BD">
              <w:rPr>
                <w:webHidden/>
              </w:rPr>
              <w:tab/>
            </w:r>
            <w:r w:rsidRPr="004744BD">
              <w:rPr>
                <w:webHidden/>
              </w:rPr>
              <w:fldChar w:fldCharType="begin"/>
            </w:r>
            <w:r w:rsidRPr="004744BD">
              <w:rPr>
                <w:webHidden/>
              </w:rPr>
              <w:instrText xml:space="preserve"> PAGEREF _Toc7027612 \h </w:instrText>
            </w:r>
            <w:r w:rsidRPr="004744BD">
              <w:rPr>
                <w:webHidden/>
              </w:rPr>
            </w:r>
            <w:r w:rsidRPr="004744BD">
              <w:rPr>
                <w:webHidden/>
              </w:rPr>
              <w:fldChar w:fldCharType="separate"/>
            </w:r>
            <w:r w:rsidRPr="004744BD">
              <w:rPr>
                <w:webHidden/>
              </w:rPr>
              <w:t>3</w:t>
            </w:r>
            <w:r w:rsidRPr="004744BD">
              <w:rPr>
                <w:webHidden/>
              </w:rPr>
              <w:fldChar w:fldCharType="end"/>
            </w:r>
          </w:hyperlink>
        </w:p>
        <w:p w14:paraId="503FD806" w14:textId="1E0CD7E0" w:rsidR="004744BD" w:rsidRPr="004744BD" w:rsidRDefault="004744BD" w:rsidP="004744BD">
          <w:pPr>
            <w:pStyle w:val="Sumrio2"/>
            <w:rPr>
              <w:rFonts w:asciiTheme="minorHAnsi" w:eastAsiaTheme="minorEastAsia" w:hAnsiTheme="minorHAnsi" w:cstheme="minorBidi"/>
            </w:rPr>
          </w:pPr>
          <w:hyperlink w:anchor="_Toc7027613" w:history="1">
            <w:r w:rsidRPr="004744BD">
              <w:rPr>
                <w:rStyle w:val="Hyperlink"/>
                <w:b/>
                <w:i/>
              </w:rPr>
              <w:t>2.2</w:t>
            </w:r>
            <w:r w:rsidRPr="004744BD">
              <w:rPr>
                <w:rFonts w:asciiTheme="minorHAnsi" w:eastAsiaTheme="minorEastAsia" w:hAnsiTheme="minorHAnsi" w:cstheme="minorBidi"/>
              </w:rPr>
              <w:tab/>
            </w:r>
            <w:r w:rsidRPr="004744BD">
              <w:rPr>
                <w:rStyle w:val="Hyperlink"/>
                <w:b/>
                <w:i/>
              </w:rPr>
              <w:t>Capítulo 2. Estruturas organizacionais das instituições universitárias</w:t>
            </w:r>
            <w:r w:rsidRPr="004744BD">
              <w:rPr>
                <w:webHidden/>
              </w:rPr>
              <w:tab/>
            </w:r>
            <w:r w:rsidRPr="004744BD">
              <w:rPr>
                <w:webHidden/>
              </w:rPr>
              <w:fldChar w:fldCharType="begin"/>
            </w:r>
            <w:r w:rsidRPr="004744BD">
              <w:rPr>
                <w:webHidden/>
              </w:rPr>
              <w:instrText xml:space="preserve"> PAGEREF _Toc7027613 \h </w:instrText>
            </w:r>
            <w:r w:rsidRPr="004744BD">
              <w:rPr>
                <w:webHidden/>
              </w:rPr>
            </w:r>
            <w:r w:rsidRPr="004744BD">
              <w:rPr>
                <w:webHidden/>
              </w:rPr>
              <w:fldChar w:fldCharType="separate"/>
            </w:r>
            <w:r w:rsidRPr="004744BD">
              <w:rPr>
                <w:webHidden/>
              </w:rPr>
              <w:t>5</w:t>
            </w:r>
            <w:r w:rsidRPr="004744BD">
              <w:rPr>
                <w:webHidden/>
              </w:rPr>
              <w:fldChar w:fldCharType="end"/>
            </w:r>
          </w:hyperlink>
        </w:p>
        <w:p w14:paraId="3C4F5012" w14:textId="19B1C04F" w:rsidR="004744BD" w:rsidRPr="004744BD" w:rsidRDefault="004744BD" w:rsidP="004744BD">
          <w:pPr>
            <w:pStyle w:val="Sumrio2"/>
            <w:rPr>
              <w:rFonts w:asciiTheme="minorHAnsi" w:eastAsiaTheme="minorEastAsia" w:hAnsiTheme="minorHAnsi" w:cstheme="minorBidi"/>
            </w:rPr>
          </w:pPr>
          <w:hyperlink w:anchor="_Toc7027614" w:history="1">
            <w:r w:rsidRPr="004744BD">
              <w:rPr>
                <w:rStyle w:val="Hyperlink"/>
                <w:b/>
                <w:i/>
              </w:rPr>
              <w:t>2.3</w:t>
            </w:r>
            <w:r w:rsidRPr="004744BD">
              <w:rPr>
                <w:rFonts w:asciiTheme="minorHAnsi" w:eastAsiaTheme="minorEastAsia" w:hAnsiTheme="minorHAnsi" w:cstheme="minorBidi"/>
              </w:rPr>
              <w:tab/>
            </w:r>
            <w:r w:rsidRPr="004744BD">
              <w:rPr>
                <w:rStyle w:val="Hyperlink"/>
                <w:b/>
                <w:i/>
              </w:rPr>
              <w:t>Capítulo 3. Os professores universitários</w:t>
            </w:r>
            <w:r w:rsidRPr="004744BD">
              <w:rPr>
                <w:webHidden/>
              </w:rPr>
              <w:tab/>
            </w:r>
            <w:r w:rsidRPr="004744BD">
              <w:rPr>
                <w:webHidden/>
              </w:rPr>
              <w:fldChar w:fldCharType="begin"/>
            </w:r>
            <w:r w:rsidRPr="004744BD">
              <w:rPr>
                <w:webHidden/>
              </w:rPr>
              <w:instrText xml:space="preserve"> PAGEREF _Toc7027614 \h </w:instrText>
            </w:r>
            <w:r w:rsidRPr="004744BD">
              <w:rPr>
                <w:webHidden/>
              </w:rPr>
            </w:r>
            <w:r w:rsidRPr="004744BD">
              <w:rPr>
                <w:webHidden/>
              </w:rPr>
              <w:fldChar w:fldCharType="separate"/>
            </w:r>
            <w:r w:rsidRPr="004744BD">
              <w:rPr>
                <w:webHidden/>
              </w:rPr>
              <w:t>8</w:t>
            </w:r>
            <w:r w:rsidRPr="004744BD">
              <w:rPr>
                <w:webHidden/>
              </w:rPr>
              <w:fldChar w:fldCharType="end"/>
            </w:r>
          </w:hyperlink>
        </w:p>
        <w:p w14:paraId="49BF9FF9" w14:textId="4F21F9EA" w:rsidR="004744BD" w:rsidRPr="004744BD" w:rsidRDefault="004744BD" w:rsidP="004744BD">
          <w:pPr>
            <w:pStyle w:val="Sumrio2"/>
            <w:rPr>
              <w:rFonts w:asciiTheme="minorHAnsi" w:eastAsiaTheme="minorEastAsia" w:hAnsiTheme="minorHAnsi" w:cstheme="minorBidi"/>
            </w:rPr>
          </w:pPr>
          <w:hyperlink w:anchor="_Toc7027615" w:history="1">
            <w:r w:rsidRPr="004744BD">
              <w:rPr>
                <w:rStyle w:val="Hyperlink"/>
                <w:b/>
                <w:i/>
              </w:rPr>
              <w:t>2.4</w:t>
            </w:r>
            <w:r w:rsidRPr="004744BD">
              <w:rPr>
                <w:rFonts w:asciiTheme="minorHAnsi" w:eastAsiaTheme="minorEastAsia" w:hAnsiTheme="minorHAnsi" w:cstheme="minorBidi"/>
              </w:rPr>
              <w:tab/>
            </w:r>
            <w:r w:rsidRPr="004744BD">
              <w:rPr>
                <w:rStyle w:val="Hyperlink"/>
                <w:b/>
                <w:i/>
              </w:rPr>
              <w:t>Capítulo 4. Formação do docente universitário</w:t>
            </w:r>
            <w:r w:rsidRPr="004744BD">
              <w:rPr>
                <w:webHidden/>
              </w:rPr>
              <w:tab/>
            </w:r>
            <w:r w:rsidRPr="004744BD">
              <w:rPr>
                <w:webHidden/>
              </w:rPr>
              <w:fldChar w:fldCharType="begin"/>
            </w:r>
            <w:r w:rsidRPr="004744BD">
              <w:rPr>
                <w:webHidden/>
              </w:rPr>
              <w:instrText xml:space="preserve"> PAGEREF _Toc7027615 \h </w:instrText>
            </w:r>
            <w:r w:rsidRPr="004744BD">
              <w:rPr>
                <w:webHidden/>
              </w:rPr>
            </w:r>
            <w:r w:rsidRPr="004744BD">
              <w:rPr>
                <w:webHidden/>
              </w:rPr>
              <w:fldChar w:fldCharType="separate"/>
            </w:r>
            <w:r w:rsidRPr="004744BD">
              <w:rPr>
                <w:webHidden/>
              </w:rPr>
              <w:t>10</w:t>
            </w:r>
            <w:r w:rsidRPr="004744BD">
              <w:rPr>
                <w:webHidden/>
              </w:rPr>
              <w:fldChar w:fldCharType="end"/>
            </w:r>
          </w:hyperlink>
        </w:p>
        <w:p w14:paraId="071FAFB2" w14:textId="1781D321" w:rsidR="004744BD" w:rsidRPr="004744BD" w:rsidRDefault="004744BD">
          <w:pPr>
            <w:rPr>
              <w:sz w:val="24"/>
              <w:szCs w:val="24"/>
            </w:rPr>
          </w:pPr>
          <w:r w:rsidRPr="004744B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7B676B8A" w14:textId="62768CAD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78FFACCD" w14:textId="7056B169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48E10048" w14:textId="4494C1BE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19D97376" w14:textId="7D187379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2E12D90D" w14:textId="070695DB" w:rsidR="004744BD" w:rsidRDefault="004744BD" w:rsidP="005079EC">
      <w:pPr>
        <w:spacing w:line="360" w:lineRule="auto"/>
        <w:jc w:val="center"/>
        <w:rPr>
          <w:sz w:val="22"/>
          <w:szCs w:val="22"/>
        </w:rPr>
      </w:pPr>
      <w:bookmarkStart w:id="1" w:name="_GoBack"/>
      <w:bookmarkEnd w:id="1"/>
    </w:p>
    <w:p w14:paraId="22AF9674" w14:textId="6E0AFAA0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363DAEF5" w14:textId="0207578A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6EB5EF58" w14:textId="2FD499C1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0A1B5D21" w14:textId="4455D86D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2C5C9F6C" w14:textId="4776C3BA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323F92E2" w14:textId="0AED37C8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4981BA3D" w14:textId="39A0CAC1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688F1DFC" w14:textId="49A8E2C6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6F109D85" w14:textId="74F37F9F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3C73FE3C" w14:textId="79C4B8AB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0AED6BBD" w14:textId="762EF3B6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02488D79" w14:textId="3D81903C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2E87167B" w14:textId="62AB24E6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5AB38277" w14:textId="599888E5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4BC8AAB5" w14:textId="70BE0021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4417E77A" w14:textId="5EA9FE4E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3A8DE2E8" w14:textId="116121A9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5654FCC0" w14:textId="6279334D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5EB202B6" w14:textId="49247C10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17B83D58" w14:textId="7C39F8C8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570A0206" w14:textId="0C79489E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23E39026" w14:textId="59AAF311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0E3BAF6A" w14:textId="2D9F12A4" w:rsidR="004744BD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4A9AEE5A" w14:textId="77777777" w:rsidR="004744BD" w:rsidRPr="00F402A4" w:rsidRDefault="004744BD" w:rsidP="005079EC">
      <w:pPr>
        <w:spacing w:line="360" w:lineRule="auto"/>
        <w:jc w:val="center"/>
        <w:rPr>
          <w:sz w:val="22"/>
          <w:szCs w:val="22"/>
        </w:rPr>
      </w:pPr>
    </w:p>
    <w:p w14:paraId="4162925A" w14:textId="58E9009B" w:rsidR="005079EC" w:rsidRPr="00B3781B" w:rsidRDefault="0064064C" w:rsidP="00B3781B">
      <w:pPr>
        <w:pStyle w:val="Ttulo1"/>
        <w:numPr>
          <w:ilvl w:val="0"/>
          <w:numId w:val="2"/>
        </w:numPr>
        <w:spacing w:line="240" w:lineRule="auto"/>
        <w:ind w:left="0" w:firstLine="0"/>
        <w:rPr>
          <w:b/>
          <w:szCs w:val="24"/>
        </w:rPr>
      </w:pPr>
      <w:bookmarkStart w:id="2" w:name="_Toc7027610"/>
      <w:bookmarkEnd w:id="0"/>
      <w:r w:rsidRPr="00B3781B">
        <w:rPr>
          <w:b/>
          <w:szCs w:val="24"/>
        </w:rPr>
        <w:t>FICHAMENTO:</w:t>
      </w:r>
      <w:bookmarkEnd w:id="2"/>
    </w:p>
    <w:p w14:paraId="7DC90EAD" w14:textId="77777777" w:rsidR="003B5151" w:rsidRPr="00B3781B" w:rsidRDefault="003B5151" w:rsidP="00B3781B">
      <w:pPr>
        <w:rPr>
          <w:sz w:val="24"/>
          <w:szCs w:val="24"/>
        </w:rPr>
      </w:pPr>
    </w:p>
    <w:p w14:paraId="2E312D08" w14:textId="44046400" w:rsidR="00147BA5" w:rsidRPr="00B3781B" w:rsidRDefault="00147BA5" w:rsidP="00B3781B">
      <w:pPr>
        <w:rPr>
          <w:sz w:val="24"/>
          <w:szCs w:val="24"/>
        </w:rPr>
      </w:pPr>
      <w:proofErr w:type="spellStart"/>
      <w:r w:rsidRPr="00B3781B">
        <w:rPr>
          <w:sz w:val="24"/>
          <w:szCs w:val="24"/>
        </w:rPr>
        <w:t>Zabalza</w:t>
      </w:r>
      <w:proofErr w:type="spellEnd"/>
      <w:r w:rsidRPr="00B3781B">
        <w:rPr>
          <w:sz w:val="24"/>
          <w:szCs w:val="24"/>
        </w:rPr>
        <w:t xml:space="preserve">, Miguel, A. O ensino universitário: seu cenário e seus protagonistas. </w:t>
      </w:r>
      <w:proofErr w:type="spellStart"/>
      <w:r w:rsidRPr="00B3781B">
        <w:rPr>
          <w:sz w:val="24"/>
          <w:szCs w:val="24"/>
        </w:rPr>
        <w:t>Trad</w:t>
      </w:r>
      <w:proofErr w:type="spellEnd"/>
      <w:r w:rsidRPr="00B3781B">
        <w:rPr>
          <w:sz w:val="24"/>
          <w:szCs w:val="24"/>
        </w:rPr>
        <w:t>, Ernani Rosa – Porto Alegre, 2004.</w:t>
      </w:r>
    </w:p>
    <w:p w14:paraId="777D1A94" w14:textId="77777777" w:rsidR="00147BA5" w:rsidRPr="004744BD" w:rsidRDefault="00147BA5" w:rsidP="00B3781B">
      <w:pPr>
        <w:rPr>
          <w:b/>
          <w:sz w:val="24"/>
          <w:szCs w:val="24"/>
        </w:rPr>
      </w:pPr>
    </w:p>
    <w:p w14:paraId="27E2FF6F" w14:textId="50E35911" w:rsidR="00B3781B" w:rsidRPr="004744BD" w:rsidRDefault="0064064C" w:rsidP="004744BD">
      <w:pPr>
        <w:pStyle w:val="Ttulo1"/>
        <w:numPr>
          <w:ilvl w:val="0"/>
          <w:numId w:val="2"/>
        </w:numPr>
        <w:ind w:left="0" w:firstLine="0"/>
        <w:rPr>
          <w:b/>
          <w:i/>
          <w:szCs w:val="24"/>
        </w:rPr>
      </w:pPr>
      <w:bookmarkStart w:id="3" w:name="_Toc7027611"/>
      <w:r w:rsidRPr="004744BD">
        <w:rPr>
          <w:b/>
          <w:szCs w:val="24"/>
        </w:rPr>
        <w:t>ANÁLISE DA OBRA:</w:t>
      </w:r>
      <w:bookmarkEnd w:id="3"/>
    </w:p>
    <w:p w14:paraId="02234634" w14:textId="1E48D8CE" w:rsidR="00B3781B" w:rsidRPr="00B3781B" w:rsidRDefault="00B3781B" w:rsidP="00F402A4">
      <w:pPr>
        <w:rPr>
          <w:sz w:val="24"/>
          <w:szCs w:val="24"/>
          <w:lang w:eastAsia="x-none"/>
        </w:rPr>
      </w:pPr>
    </w:p>
    <w:p w14:paraId="57F74630" w14:textId="77777777" w:rsidR="00B3781B" w:rsidRPr="00B3781B" w:rsidRDefault="00B3781B" w:rsidP="00F402A4">
      <w:pPr>
        <w:pStyle w:val="Ttulo2"/>
        <w:spacing w:before="0" w:after="0"/>
        <w:rPr>
          <w:rFonts w:ascii="Times New Roman" w:hAnsi="Times New Roman"/>
          <w:sz w:val="24"/>
          <w:szCs w:val="24"/>
        </w:rPr>
      </w:pPr>
      <w:bookmarkStart w:id="4" w:name="_Toc7027612"/>
      <w:r w:rsidRPr="00B3781B">
        <w:rPr>
          <w:rFonts w:ascii="Times New Roman" w:hAnsi="Times New Roman"/>
          <w:sz w:val="24"/>
          <w:szCs w:val="24"/>
        </w:rPr>
        <w:t>2.1</w:t>
      </w:r>
      <w:r w:rsidRPr="00B3781B">
        <w:rPr>
          <w:rFonts w:ascii="Times New Roman" w:hAnsi="Times New Roman"/>
          <w:sz w:val="24"/>
          <w:szCs w:val="24"/>
        </w:rPr>
        <w:tab/>
      </w:r>
      <w:r w:rsidRPr="00B3781B">
        <w:rPr>
          <w:rFonts w:ascii="Times New Roman" w:hAnsi="Times New Roman"/>
          <w:sz w:val="24"/>
          <w:szCs w:val="24"/>
        </w:rPr>
        <w:t>Capítulo 1. A universidade: cenário específico e especializado de formação</w:t>
      </w:r>
      <w:bookmarkEnd w:id="4"/>
    </w:p>
    <w:p w14:paraId="07F75EA7" w14:textId="77777777" w:rsidR="00B3781B" w:rsidRDefault="00B3781B" w:rsidP="00B3781B">
      <w:pPr>
        <w:ind w:firstLine="709"/>
        <w:jc w:val="both"/>
        <w:rPr>
          <w:sz w:val="24"/>
          <w:szCs w:val="24"/>
        </w:rPr>
      </w:pPr>
    </w:p>
    <w:p w14:paraId="444C8378" w14:textId="5F2ACC95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está se dizendo às universidades que não se contentem em apenas transmitir a ciência, mas que a criem (isto é, elas devem combinar a docência e a pesquisa); que deem um sentido prático e profissionalizante para a formação que oferecem aos estudantes; que façam tudo isso sem se fechar em si mesmas: façam-no em contato com o meio social, econômico e profissional com cuja melhora devem colaborar.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20)</w:t>
      </w:r>
    </w:p>
    <w:p w14:paraId="465C58E0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Houve muitas alterações na educação superior durante esses últimos anos: da massificação e progressiva heterogeneidade dos estudantes até a redução de investimentos; da nova cultura da qualidade a novos estudos e a novas orientações na formação (fundamentalmente a passagem de uma orientação centrada no ensino para uma orientação centrada na aprendizagem), incluindo a importante incorporação do mundo das novas tecnologias e do ensino a distância (...). (p.22)</w:t>
      </w:r>
    </w:p>
    <w:p w14:paraId="5FCA71C0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Certamente, a massificação é o fenômeno que mais se destaca na transformação da universidade e o que mais teve impacto sobre sua evolução. (...).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25)</w:t>
      </w:r>
    </w:p>
    <w:p w14:paraId="747AAD8F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Chegada de grupos de estudantes cada vez mais heterogêneos quanto à capacidade intelectual, à preparação acadêmica, à motivação =, às expectativas, aos recursos financeiros, etc. (...) aumento do número de mulheres (...) diversificação das idades (...) surgimento de indivíduos que já estão no mercado de trabalho (...) (p. 26)</w:t>
      </w:r>
    </w:p>
    <w:p w14:paraId="21614CD9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Necessidade de contratar, de forma também massiva, novos professores (...) o que tem efeitos importantes sobre a capacitação de novos professores, sobre suas condições de trabalho, sobre a atribuição das funções a serem desenvolvidas por eles (...). (p.26)</w:t>
      </w:r>
    </w:p>
    <w:p w14:paraId="2CCDEB16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Surgimento de sutis diferenças quanto ao </w:t>
      </w:r>
      <w:r w:rsidRPr="00F402A4">
        <w:rPr>
          <w:i/>
          <w:sz w:val="22"/>
          <w:szCs w:val="22"/>
        </w:rPr>
        <w:t>status</w:t>
      </w:r>
      <w:r w:rsidRPr="00F402A4">
        <w:rPr>
          <w:sz w:val="22"/>
          <w:szCs w:val="22"/>
        </w:rPr>
        <w:t xml:space="preserve"> dos diversos cursos e das instituições universitárias onde eles são oferecidos (...) (p.26)</w:t>
      </w:r>
    </w:p>
    <w:p w14:paraId="72C0850E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Por falta de um apoio financeiro incondicional por parte dos poderes públicos, as universidades tiveram de curvar-se aos novos critérios que esses poderes foram impondo a elas no desenvolvimento de sua atividade e na administração de recursos: </w:t>
      </w:r>
    </w:p>
    <w:p w14:paraId="5EBD50A9" w14:textId="721A069A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- B</w:t>
      </w:r>
      <w:r w:rsidRPr="00F402A4">
        <w:rPr>
          <w:sz w:val="22"/>
          <w:szCs w:val="22"/>
        </w:rPr>
        <w:t>usca de novas fontes de financiamento através de contratos de pesquisa e assessoria a empresas (...)</w:t>
      </w:r>
    </w:p>
    <w:p w14:paraId="1FCC56DC" w14:textId="7A512680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- A</w:t>
      </w:r>
      <w:r w:rsidRPr="00F402A4">
        <w:rPr>
          <w:sz w:val="22"/>
          <w:szCs w:val="22"/>
        </w:rPr>
        <w:t>umento do número de alunos matriculados (...) (p. 27)</w:t>
      </w:r>
    </w:p>
    <w:p w14:paraId="7D2D0C3C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No atual cenário, a universidade desempenha um papel importante no processo de formação, mas não o encerra: a formação é iniciada antes de se chegar à universidade, é desenvolvida dentro como fora da sala de aula, continuando após se ter alcançado o título correspondente por meio da formação permanente (...) (p.28)</w:t>
      </w:r>
    </w:p>
    <w:p w14:paraId="443B6397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é evidente a necessidade de reforçar a dimensão pedagógica de nossa docência para adaptá-la às condições variáveis de nossos estudantes. Impõem-se a nós a necessidade de repensar as metodologias de ensino que propomos a nossos estudantes (...); a necessidade de revisar os materiais e recursos didáticos que colocamos à disposição dos alunos a fim de que facilitem sua aprendizagem; a necessidade de incorporar experiências e modalidades diversas de trabalho de tal forma que os próprios alunos possam optar por níveis de aprofundamento na disciplina de acordo com sua motivação e orientação pessoal.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31)</w:t>
      </w:r>
    </w:p>
    <w:p w14:paraId="35687332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(...) </w:t>
      </w:r>
      <w:proofErr w:type="spellStart"/>
      <w:r w:rsidRPr="00F402A4">
        <w:rPr>
          <w:sz w:val="22"/>
          <w:szCs w:val="22"/>
        </w:rPr>
        <w:t>a</w:t>
      </w:r>
      <w:proofErr w:type="spellEnd"/>
      <w:r w:rsidRPr="00F402A4">
        <w:rPr>
          <w:sz w:val="22"/>
          <w:szCs w:val="22"/>
        </w:rPr>
        <w:t xml:space="preserve"> docência universitária precisa de uma série de atividades antes e depois da aula que garantem seu sentido didático. Por outro lado, é curioso como aceitamos de bom grado os requisitos formais quando se trata da pesquisa (...), mas como rejeitamos, por considerá-los desnecessários, quando se trata da docência. (p.32)</w:t>
      </w:r>
    </w:p>
    <w:p w14:paraId="031808C1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lastRenderedPageBreak/>
        <w:t>Na cultura do final de século, não só a palavra por si mesma como também a consciência de que a formação é imprescindível, resultou na incorporação da educação superior ao planejamento de vida dos indivíduos. (p.36)</w:t>
      </w:r>
    </w:p>
    <w:p w14:paraId="4C148172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A importância da formação deriva, a meu ver, de sua necessária vinculação ao </w:t>
      </w:r>
      <w:r w:rsidRPr="00F402A4">
        <w:rPr>
          <w:i/>
          <w:sz w:val="22"/>
          <w:szCs w:val="22"/>
        </w:rPr>
        <w:t>crescimento</w:t>
      </w:r>
      <w:r w:rsidRPr="00F402A4">
        <w:rPr>
          <w:sz w:val="22"/>
          <w:szCs w:val="22"/>
        </w:rPr>
        <w:t xml:space="preserve"> e ao </w:t>
      </w:r>
      <w:r w:rsidRPr="00F402A4">
        <w:rPr>
          <w:i/>
          <w:sz w:val="22"/>
          <w:szCs w:val="22"/>
        </w:rPr>
        <w:t>aperfeiçoamento</w:t>
      </w:r>
      <w:r w:rsidRPr="00F402A4">
        <w:rPr>
          <w:sz w:val="22"/>
          <w:szCs w:val="22"/>
        </w:rPr>
        <w:t xml:space="preserve"> das pessoas, aperfeiçoamento que tem de ser entendido em um sentido global: crescer como pessoas. (...) (p.39)</w:t>
      </w:r>
    </w:p>
    <w:p w14:paraId="49B6C822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A ideia de </w:t>
      </w:r>
      <w:r w:rsidRPr="00F402A4">
        <w:rPr>
          <w:i/>
          <w:sz w:val="22"/>
          <w:szCs w:val="22"/>
        </w:rPr>
        <w:t>aperfeiçoamento</w:t>
      </w:r>
      <w:r w:rsidRPr="00F402A4">
        <w:rPr>
          <w:sz w:val="22"/>
          <w:szCs w:val="22"/>
        </w:rPr>
        <w:t xml:space="preserve">, de </w:t>
      </w:r>
      <w:r w:rsidRPr="00F402A4">
        <w:rPr>
          <w:i/>
          <w:sz w:val="22"/>
          <w:szCs w:val="22"/>
        </w:rPr>
        <w:t>desenvolvimento pessoal,</w:t>
      </w:r>
      <w:r w:rsidRPr="00F402A4">
        <w:rPr>
          <w:sz w:val="22"/>
          <w:szCs w:val="22"/>
        </w:rPr>
        <w:t xml:space="preserve"> entre outras costuma ser atribuída comumente ao conceito de </w:t>
      </w:r>
      <w:r w:rsidRPr="00F402A4">
        <w:rPr>
          <w:i/>
          <w:sz w:val="22"/>
          <w:szCs w:val="22"/>
        </w:rPr>
        <w:t>educação</w:t>
      </w:r>
      <w:r w:rsidRPr="00F402A4">
        <w:rPr>
          <w:sz w:val="22"/>
          <w:szCs w:val="22"/>
        </w:rPr>
        <w:t xml:space="preserve">. Dessa maneira, é possível estabelecer uma contraposição entre o que é </w:t>
      </w:r>
      <w:r w:rsidRPr="00F402A4">
        <w:rPr>
          <w:i/>
          <w:sz w:val="22"/>
          <w:szCs w:val="22"/>
        </w:rPr>
        <w:t>educação</w:t>
      </w:r>
      <w:r w:rsidRPr="00F402A4">
        <w:rPr>
          <w:sz w:val="22"/>
          <w:szCs w:val="22"/>
        </w:rPr>
        <w:t xml:space="preserve"> (mais vinculada ao desenvolvimento pessoal, à aquisição de novas capacidades, à incorporação da cultura, etc.) e o que seria </w:t>
      </w:r>
      <w:r w:rsidRPr="00F402A4">
        <w:rPr>
          <w:i/>
          <w:sz w:val="22"/>
          <w:szCs w:val="22"/>
        </w:rPr>
        <w:t>formação</w:t>
      </w:r>
      <w:r w:rsidRPr="00F402A4">
        <w:rPr>
          <w:sz w:val="22"/>
          <w:szCs w:val="22"/>
        </w:rPr>
        <w:t xml:space="preserve"> (algo mais pontual e funcional, direcionado à aquisição de habilidades específicas vinculadas, normalmente, ao mercado de trabalho). (p.39)</w:t>
      </w:r>
    </w:p>
    <w:p w14:paraId="0428A968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a formação deve servir para qualificar as pessoas. (...) (p.41)</w:t>
      </w:r>
    </w:p>
    <w:p w14:paraId="26F7A139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tem sido constante vincular a formação universitária ao desenvolvimento da capacidade crítica dos estudantes (...). Essa independência intelectual que constitui a marca da maturidade sempre foi um valor que fez parte da formação universitária. (p.44)</w:t>
      </w:r>
    </w:p>
    <w:p w14:paraId="04F0C228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(...) o importante é ver em que parte do </w:t>
      </w:r>
      <w:proofErr w:type="spellStart"/>
      <w:r w:rsidRPr="00F402A4">
        <w:rPr>
          <w:i/>
          <w:sz w:val="22"/>
          <w:szCs w:val="22"/>
        </w:rPr>
        <w:t>continuum</w:t>
      </w:r>
      <w:proofErr w:type="spellEnd"/>
      <w:r w:rsidRPr="00F402A4">
        <w:rPr>
          <w:sz w:val="22"/>
          <w:szCs w:val="22"/>
        </w:rPr>
        <w:t xml:space="preserve"> entre um </w:t>
      </w:r>
      <w:proofErr w:type="spellStart"/>
      <w:r w:rsidRPr="00F402A4">
        <w:rPr>
          <w:sz w:val="22"/>
          <w:szCs w:val="22"/>
        </w:rPr>
        <w:t>pólo</w:t>
      </w:r>
      <w:proofErr w:type="spellEnd"/>
      <w:r w:rsidRPr="00F402A4">
        <w:rPr>
          <w:sz w:val="22"/>
          <w:szCs w:val="22"/>
        </w:rPr>
        <w:t xml:space="preserve"> (o indivíduo) e o outro (o mundo que o cerca) se situa cada proposta formativa. (p.46)</w:t>
      </w:r>
    </w:p>
    <w:p w14:paraId="23551FB9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a formação não é concebida com o um direito de todos os cidadãos para se desenvolverem plenamente tanto pessoal quanto profissionalmente, mas como um direito ou uma necessidade do sistema para qualificar sua mão-de-obra e elevar a sua capacidade produtiva e, indiretamente, do próprio sistema o que, na verdade, é justo e pertinente, porém essa resposta às necessidades sociais não deveria ser feita à custa do sacrifício das demandas dos próprios indivíduos.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47)</w:t>
      </w:r>
    </w:p>
    <w:p w14:paraId="13AEAF9C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hoje em dia, começa a predominar a ideia de que é preferível, inclusive do ponto de vista dos empregadores, que os indivíduos tenham uma formação geral suficientemente ampla e polivalente a ponto de permitir a mobilidade profissional.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49)</w:t>
      </w:r>
    </w:p>
    <w:p w14:paraId="2F93BE60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A ideia de uma formação “completa” ao estilo renascentista entrou em crise por pura impossibilidade material. Os campos científicos e os espaços profissionais foram se diversificando até se tornar impossível abordá-los por completo. Disso derivou uma tendência à especialização e à subdivisão de competências e formaram-se novas redes de vínculos e complementações: surgimento de novas profissões, criação de cursos mistos (...), estrutura curricular por módulos, etc. (p. 56)</w:t>
      </w:r>
    </w:p>
    <w:p w14:paraId="51FB4662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O mercado oferece constantemente novidades técnicas em cada uma das áreas profissionais. Por melhor que tenha sido a formação inicial recebida pelo profissional, ela é sempre insuficiente para responder à altura às exigências de seu trabalho.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57)</w:t>
      </w:r>
    </w:p>
    <w:p w14:paraId="2FC811D1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(...) A sociedade deixou de ser um nicho estável em posição de espectadora para se transformar em uma autêntica efervescência de mudanças e transformações constantes. Por isso, é apropriado chamá-la de </w:t>
      </w:r>
      <w:r w:rsidRPr="00F402A4">
        <w:rPr>
          <w:i/>
          <w:sz w:val="22"/>
          <w:szCs w:val="22"/>
        </w:rPr>
        <w:t>sociedade da aprendizagem</w:t>
      </w:r>
      <w:r w:rsidRPr="00F402A4">
        <w:rPr>
          <w:sz w:val="22"/>
          <w:szCs w:val="22"/>
        </w:rPr>
        <w:t xml:space="preserve">. Porém, deve-se ter em mente que, quando falamos em aprendizagem, estamos longe de nos referirmos ao </w:t>
      </w:r>
      <w:r w:rsidRPr="00F402A4">
        <w:rPr>
          <w:i/>
          <w:sz w:val="22"/>
          <w:szCs w:val="22"/>
        </w:rPr>
        <w:t>conhecimento</w:t>
      </w:r>
      <w:r w:rsidRPr="00F402A4">
        <w:rPr>
          <w:sz w:val="22"/>
          <w:szCs w:val="22"/>
        </w:rPr>
        <w:t xml:space="preserve"> padronizado tradicionalmente vinculado à academia e a seus textos e tópicos, o qual devemos assimilar com o intuito de superar os exames. Por esse motivo, a </w:t>
      </w:r>
      <w:r w:rsidRPr="00F402A4">
        <w:rPr>
          <w:i/>
          <w:sz w:val="22"/>
          <w:szCs w:val="22"/>
        </w:rPr>
        <w:t>formação contínua</w:t>
      </w:r>
      <w:r w:rsidRPr="00F402A4">
        <w:rPr>
          <w:sz w:val="22"/>
          <w:szCs w:val="22"/>
        </w:rPr>
        <w:t xml:space="preserve"> tem sentido apenas se o próprio conceito de universidade e da missão formativa, que a ela atribuímos, for ampliado (...) (p.58)</w:t>
      </w:r>
    </w:p>
    <w:p w14:paraId="29604E34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é preciso que se tenha um entendimento mais abrangente de aprendizagem, no qual ela é vista como parte e todas as nossas experiências (em vez de algo restrito aos conteúdos escolares ou acadêmicos) e como um processo contínuo (em vez de algo restrito ao período escolar ou universitário).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60)</w:t>
      </w:r>
    </w:p>
    <w:p w14:paraId="6EA4DB1B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Para muitos, a escola (como um todo) e a universidade (em maior medida) são mecanismos sociais cuja função é selecionar os melhores. Portanto, aqueles que não podem acompanhar o ritmo por elas estabelecido deverão buscar outros caminhos. Essa concepção de </w:t>
      </w:r>
      <w:r w:rsidRPr="00F402A4">
        <w:rPr>
          <w:i/>
          <w:sz w:val="22"/>
          <w:szCs w:val="22"/>
        </w:rPr>
        <w:t>escola-obstáculo</w:t>
      </w:r>
      <w:r w:rsidRPr="00F402A4">
        <w:rPr>
          <w:sz w:val="22"/>
          <w:szCs w:val="22"/>
        </w:rPr>
        <w:t xml:space="preserve"> está muito enraizada na nossa visão de aprendizagem escolar e, principalmente, nos mecanismos de avaliação empregados. (</w:t>
      </w:r>
      <w:proofErr w:type="gramStart"/>
      <w:r w:rsidRPr="00F402A4">
        <w:rPr>
          <w:sz w:val="22"/>
          <w:szCs w:val="22"/>
        </w:rPr>
        <w:t>p.</w:t>
      </w:r>
      <w:proofErr w:type="gramEnd"/>
      <w:r w:rsidRPr="00F402A4">
        <w:rPr>
          <w:sz w:val="22"/>
          <w:szCs w:val="22"/>
        </w:rPr>
        <w:t xml:space="preserve"> 61)</w:t>
      </w:r>
    </w:p>
    <w:p w14:paraId="4576A02E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Frente a uma educação superior cuja tendência foi, às vezes, se basear no poder da memória e na simples transmissão de conhecimentos e competências preestabelecidos, é </w:t>
      </w:r>
      <w:r w:rsidRPr="00F402A4">
        <w:rPr>
          <w:sz w:val="22"/>
          <w:szCs w:val="22"/>
        </w:rPr>
        <w:lastRenderedPageBreak/>
        <w:t>fundamental reforçar o papel e a importância que adquirem outras capacidades mais complexas e, na verdade, mais necessárias às pessoas a fim de que se mantenham em um sistema aberto de aprendizagens: a capacidade de lidar com a informação e de resolver problemas, a criatividade, a capacidade de planejamento e avaliação de processo, etc. (p.62)</w:t>
      </w:r>
    </w:p>
    <w:p w14:paraId="72EBEAD6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O sistema convencional de transmissão de informação por parte do professor, que parte dos estudos sobre livros-texto, é, hoje em dia, superado: novos meios e novos recursos técnicos cumprem melhor que os professores essa função transmissora; ao contrário disso, torna-se necessário um papel mais ativo dos professores como orientadores e facilitadores da aprendizagem. O acúmulo quase infinito de informações que os estudantes atuais recebem por dia nem sempre é bem assimilado e, por esse motivo, precisa dessa ação orientadora. Logo, o principal objetivo da formação é equipar os alunos com estratégias de integração das informações. (...) (p.62-63).</w:t>
      </w:r>
    </w:p>
    <w:p w14:paraId="5F9D03AF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proofErr w:type="gramStart"/>
      <w:r w:rsidRPr="00F402A4">
        <w:rPr>
          <w:sz w:val="22"/>
          <w:szCs w:val="22"/>
        </w:rPr>
        <w:t>(...) É</w:t>
      </w:r>
      <w:proofErr w:type="gramEnd"/>
      <w:r w:rsidRPr="00F402A4">
        <w:rPr>
          <w:sz w:val="22"/>
          <w:szCs w:val="22"/>
        </w:rPr>
        <w:t xml:space="preserve"> preciso levar em consideração, mais uma vez, que a universidade não tem como missão apenas equipar os sujeitos para o mercado de trabalho, mas também prepará-los para desfrutar a cultura e o ócio a que, sem dúvida, poderão dedicar uma parte importante de sua vida. (p.65)</w:t>
      </w:r>
    </w:p>
    <w:p w14:paraId="25A338CD" w14:textId="77777777" w:rsidR="00B3781B" w:rsidRPr="00F402A4" w:rsidRDefault="00B3781B" w:rsidP="00F402A4">
      <w:pPr>
        <w:ind w:firstLine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(...) A posição e a missão da universidade no contexto da “sociedade da aprendizagem” (...) adquire uma orientação bem diferente: é uma universidade menos autossuficiente, mais preocupada em consolidar as bases do conhecimento do que em desenvolvê-lo por completo, mais comprometida com o desenvolvimento das possibilidades reais de cada sujeito do que em levar até o fim um processo seletivo do qual só seguem adiante os mais capacitados ou os melhores adaptados. (p.65)</w:t>
      </w:r>
    </w:p>
    <w:p w14:paraId="34058832" w14:textId="07B98B01" w:rsidR="00B3781B" w:rsidRPr="00F402A4" w:rsidRDefault="00B3781B" w:rsidP="00F402A4">
      <w:pPr>
        <w:rPr>
          <w:sz w:val="22"/>
          <w:szCs w:val="22"/>
          <w:lang w:eastAsia="x-none"/>
        </w:rPr>
      </w:pPr>
    </w:p>
    <w:p w14:paraId="3C938A32" w14:textId="73F6641E" w:rsidR="00B3781B" w:rsidRPr="00F402A4" w:rsidRDefault="00B3781B" w:rsidP="00F402A4">
      <w:pPr>
        <w:pStyle w:val="PargrafodaLista"/>
        <w:numPr>
          <w:ilvl w:val="1"/>
          <w:numId w:val="2"/>
        </w:numPr>
        <w:ind w:left="0" w:firstLine="0"/>
        <w:outlineLvl w:val="1"/>
        <w:rPr>
          <w:b/>
          <w:i/>
          <w:sz w:val="24"/>
          <w:szCs w:val="24"/>
        </w:rPr>
      </w:pPr>
      <w:bookmarkStart w:id="5" w:name="_Toc7027613"/>
      <w:r w:rsidRPr="00F402A4">
        <w:rPr>
          <w:b/>
          <w:i/>
          <w:sz w:val="24"/>
          <w:szCs w:val="24"/>
        </w:rPr>
        <w:t>Capítulo</w:t>
      </w:r>
      <w:r w:rsidRPr="00F402A4">
        <w:rPr>
          <w:b/>
          <w:i/>
          <w:sz w:val="24"/>
          <w:szCs w:val="24"/>
        </w:rPr>
        <w:t xml:space="preserve"> 2</w:t>
      </w:r>
      <w:r w:rsidRPr="00F402A4">
        <w:rPr>
          <w:b/>
          <w:i/>
          <w:sz w:val="24"/>
          <w:szCs w:val="24"/>
        </w:rPr>
        <w:t>. E</w:t>
      </w:r>
      <w:r w:rsidRPr="00F402A4">
        <w:rPr>
          <w:b/>
          <w:i/>
          <w:sz w:val="24"/>
          <w:szCs w:val="24"/>
        </w:rPr>
        <w:t>struturas organizacionais das instituições universitárias</w:t>
      </w:r>
      <w:bookmarkEnd w:id="5"/>
    </w:p>
    <w:p w14:paraId="00025152" w14:textId="77777777" w:rsidR="00B3781B" w:rsidRPr="00F402A4" w:rsidRDefault="00B3781B" w:rsidP="00F402A4">
      <w:pPr>
        <w:pStyle w:val="PargrafodaLista"/>
        <w:ind w:left="1065"/>
        <w:rPr>
          <w:b/>
          <w:sz w:val="22"/>
          <w:szCs w:val="22"/>
        </w:rPr>
      </w:pPr>
    </w:p>
    <w:p w14:paraId="03297284" w14:textId="7777777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Continuando sua análise sobre as características da universidade como ambiente formativo, o autor se propõe a debater sua </w:t>
      </w:r>
      <w:r w:rsidRPr="00F402A4">
        <w:rPr>
          <w:b/>
          <w:sz w:val="22"/>
          <w:szCs w:val="22"/>
        </w:rPr>
        <w:t>organização</w:t>
      </w:r>
      <w:r w:rsidRPr="00F402A4">
        <w:rPr>
          <w:sz w:val="22"/>
          <w:szCs w:val="22"/>
        </w:rPr>
        <w:t>.</w:t>
      </w:r>
    </w:p>
    <w:p w14:paraId="681AD6F7" w14:textId="77777777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>“ As peculiaridades da estrutura e da dinâmica institucional da universidade influenciam bastante suas atividades e surgem como um inevitável marco as suas condições. [...]. Ninguém pode entender com clareza o que ocorre nas universidades e, menos ainda, pode pretender fazer propostas válidas para seu aprimoramento sem considerar como estão organizadas e como funcionam. ” (</w:t>
      </w:r>
      <w:proofErr w:type="gramStart"/>
      <w:r w:rsidRPr="00F402A4">
        <w:rPr>
          <w:i/>
          <w:sz w:val="22"/>
          <w:szCs w:val="22"/>
        </w:rPr>
        <w:t>p</w:t>
      </w:r>
      <w:proofErr w:type="gramEnd"/>
      <w:r w:rsidRPr="00F402A4">
        <w:rPr>
          <w:i/>
          <w:sz w:val="22"/>
          <w:szCs w:val="22"/>
        </w:rPr>
        <w:t xml:space="preserve"> 67)</w:t>
      </w:r>
    </w:p>
    <w:p w14:paraId="68B5B798" w14:textId="7777777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Sendo parte da crise das universidades derivadas das modificações ocorridas no século XX e ainda não-consolidadas no que se refere ao seu significado social, estrutura, dinâmica interna e relação com outros agentes sociais e econômicos. Fortes características locais, com orientações e ritmos distintos em diferentes países, e até mesmo dentro dos diferentes contextos nacionais.</w:t>
      </w:r>
    </w:p>
    <w:p w14:paraId="57EACE9A" w14:textId="77777777" w:rsidR="00B3781B" w:rsidRPr="00F402A4" w:rsidRDefault="00B3781B" w:rsidP="00F402A4">
      <w:pPr>
        <w:jc w:val="center"/>
        <w:rPr>
          <w:b/>
          <w:sz w:val="22"/>
          <w:szCs w:val="22"/>
        </w:rPr>
      </w:pPr>
    </w:p>
    <w:p w14:paraId="1E512859" w14:textId="4C82FB2D" w:rsidR="00B3781B" w:rsidRPr="00F402A4" w:rsidRDefault="00B3781B" w:rsidP="00F402A4">
      <w:pPr>
        <w:jc w:val="center"/>
        <w:rPr>
          <w:b/>
          <w:sz w:val="22"/>
          <w:szCs w:val="22"/>
        </w:rPr>
      </w:pPr>
      <w:r w:rsidRPr="00F402A4">
        <w:rPr>
          <w:b/>
          <w:sz w:val="22"/>
          <w:szCs w:val="22"/>
        </w:rPr>
        <w:t>As organizações em geral: Instituição, organização e organograma</w:t>
      </w:r>
    </w:p>
    <w:p w14:paraId="52BD139A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2A85A7EA" w14:textId="588DCB4C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Tendo as organizações universitárias como realidades sociais e dinâmicas, torna-se ultrapassado o estilo de análise formal das instituições, sendo frequentemente equivocada e superficial, para expressar a realidade plural das instituições, indivíduos e grupos que as compõem.</w:t>
      </w:r>
    </w:p>
    <w:p w14:paraId="64877DB8" w14:textId="7777777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Para compreensão da universidade em um espaço epistemológico é preciso a clareza de que estamos falando de um organismo social vivo, tendo então, duas dimensões de referências:</w:t>
      </w:r>
    </w:p>
    <w:p w14:paraId="3CEEE126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1. O componente formal, estrutural que surge de exigências legais ou estatutárias, que delega funções e atividades a cada uma das instâncias</w:t>
      </w:r>
    </w:p>
    <w:p w14:paraId="33403876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2. O componente dinâmico, vivo, real, histórico, caracterizado pelos “jogos relacionais”, onde há componentes explícitos e implícitos na relação de poderes e sua dinâmica interna e externa.</w:t>
      </w:r>
    </w:p>
    <w:p w14:paraId="41C2CF8C" w14:textId="7777777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Para a análise da organização da universidade, um espaço social a ser entendido como um sistema aberto, cuja dinâmica interna vem definida pela dinâmica social da qual é reflexo, o </w:t>
      </w:r>
      <w:proofErr w:type="spellStart"/>
      <w:r w:rsidRPr="00F402A4">
        <w:rPr>
          <w:sz w:val="22"/>
          <w:szCs w:val="22"/>
        </w:rPr>
        <w:t>zabalza</w:t>
      </w:r>
      <w:proofErr w:type="spellEnd"/>
      <w:r w:rsidRPr="00F402A4">
        <w:rPr>
          <w:sz w:val="22"/>
          <w:szCs w:val="22"/>
        </w:rPr>
        <w:t xml:space="preserve"> destaca passagens </w:t>
      </w:r>
      <w:proofErr w:type="gramStart"/>
      <w:r w:rsidRPr="00F402A4">
        <w:rPr>
          <w:sz w:val="22"/>
          <w:szCs w:val="22"/>
        </w:rPr>
        <w:t xml:space="preserve">de, </w:t>
      </w:r>
      <w:proofErr w:type="spellStart"/>
      <w:r w:rsidRPr="00F402A4">
        <w:rPr>
          <w:sz w:val="22"/>
          <w:szCs w:val="22"/>
        </w:rPr>
        <w:t>Morin</w:t>
      </w:r>
      <w:proofErr w:type="spellEnd"/>
      <w:proofErr w:type="gramEnd"/>
      <w:r w:rsidRPr="00F402A4">
        <w:rPr>
          <w:sz w:val="22"/>
          <w:szCs w:val="22"/>
        </w:rPr>
        <w:t xml:space="preserve"> (1981):</w:t>
      </w:r>
    </w:p>
    <w:p w14:paraId="69A10F0A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i/>
          <w:sz w:val="22"/>
          <w:szCs w:val="22"/>
        </w:rPr>
        <w:t xml:space="preserve">“ O ambiente não é apenas uma realidade presente: é também organizador. A abertura ecológica não é só uma janela sobre o ambiente: a organização, como sistema aberto, não se encaixa no ambiente como uma simples parte do todo. A organização, como elemento ativo, e o ambiente, mesmo quando sejam diferentes um do outro, fazem parte um do outro, cada </w:t>
      </w:r>
      <w:r w:rsidRPr="00F402A4">
        <w:rPr>
          <w:i/>
          <w:sz w:val="22"/>
          <w:szCs w:val="22"/>
        </w:rPr>
        <w:lastRenderedPageBreak/>
        <w:t>uma a sua maneira, e suas indissociáveis interações e relações reciprocas são complementares, concorrentes e antagonistas. O ambiente, ao mesmo tempo, nutre e ameaça, faz existir e destrói. Todavia, a organização também transforma, o contamina, o enriquece.</w:t>
      </w:r>
      <w:r w:rsidRPr="00F402A4">
        <w:rPr>
          <w:sz w:val="22"/>
          <w:szCs w:val="22"/>
        </w:rPr>
        <w:t xml:space="preserve"> </w:t>
      </w:r>
      <w:r w:rsidRPr="00F402A4">
        <w:rPr>
          <w:i/>
          <w:sz w:val="22"/>
          <w:szCs w:val="22"/>
        </w:rPr>
        <w:t>” (</w:t>
      </w:r>
      <w:proofErr w:type="gramStart"/>
      <w:r w:rsidRPr="00F402A4">
        <w:rPr>
          <w:i/>
          <w:sz w:val="22"/>
          <w:szCs w:val="22"/>
        </w:rPr>
        <w:t>p.</w:t>
      </w:r>
      <w:proofErr w:type="gramEnd"/>
      <w:r w:rsidRPr="00F402A4">
        <w:rPr>
          <w:i/>
          <w:sz w:val="22"/>
          <w:szCs w:val="22"/>
        </w:rPr>
        <w:t xml:space="preserve"> 72)</w:t>
      </w:r>
    </w:p>
    <w:p w14:paraId="75D544B2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62CAE306" w14:textId="28F8C91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E</w:t>
      </w:r>
      <w:r w:rsidRPr="00F402A4">
        <w:rPr>
          <w:sz w:val="22"/>
          <w:szCs w:val="22"/>
        </w:rPr>
        <w:t xml:space="preserve"> uma visão de </w:t>
      </w:r>
      <w:proofErr w:type="spellStart"/>
      <w:r w:rsidRPr="00F402A4">
        <w:rPr>
          <w:sz w:val="22"/>
          <w:szCs w:val="22"/>
        </w:rPr>
        <w:t>Crozier</w:t>
      </w:r>
      <w:proofErr w:type="spellEnd"/>
      <w:r w:rsidRPr="00F402A4">
        <w:rPr>
          <w:sz w:val="22"/>
          <w:szCs w:val="22"/>
        </w:rPr>
        <w:t xml:space="preserve"> e </w:t>
      </w:r>
      <w:proofErr w:type="spellStart"/>
      <w:r w:rsidRPr="00F402A4">
        <w:rPr>
          <w:sz w:val="22"/>
          <w:szCs w:val="22"/>
        </w:rPr>
        <w:t>Friedberg</w:t>
      </w:r>
      <w:proofErr w:type="spellEnd"/>
      <w:r w:rsidRPr="00F402A4">
        <w:rPr>
          <w:sz w:val="22"/>
          <w:szCs w:val="22"/>
        </w:rPr>
        <w:t xml:space="preserve"> (1978):</w:t>
      </w:r>
    </w:p>
    <w:p w14:paraId="1C7448B4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“ </w:t>
      </w:r>
      <w:proofErr w:type="gramStart"/>
      <w:r w:rsidRPr="00F402A4">
        <w:rPr>
          <w:sz w:val="22"/>
          <w:szCs w:val="22"/>
        </w:rPr>
        <w:t>universos</w:t>
      </w:r>
      <w:proofErr w:type="gramEnd"/>
      <w:r w:rsidRPr="00F402A4">
        <w:rPr>
          <w:sz w:val="22"/>
          <w:szCs w:val="22"/>
        </w:rPr>
        <w:t xml:space="preserve"> conflitantes, e seu funcionamento como o resultado do encontro entre realidades contingentes, múltiplas e divergentes de indivíduos relativamente livres que utilizam as fontes de poder à sua disposição” (p 73)</w:t>
      </w:r>
    </w:p>
    <w:p w14:paraId="559E2E4F" w14:textId="77777777" w:rsidR="00B3781B" w:rsidRPr="00F402A4" w:rsidRDefault="00B3781B" w:rsidP="00F402A4">
      <w:pPr>
        <w:jc w:val="center"/>
        <w:rPr>
          <w:b/>
          <w:sz w:val="22"/>
          <w:szCs w:val="22"/>
        </w:rPr>
      </w:pPr>
    </w:p>
    <w:p w14:paraId="3415EDF8" w14:textId="42C689B8" w:rsidR="00B3781B" w:rsidRPr="00F402A4" w:rsidRDefault="00B3781B" w:rsidP="00F402A4">
      <w:pPr>
        <w:jc w:val="center"/>
        <w:rPr>
          <w:b/>
          <w:sz w:val="22"/>
          <w:szCs w:val="22"/>
        </w:rPr>
      </w:pPr>
      <w:r w:rsidRPr="00F402A4">
        <w:rPr>
          <w:b/>
          <w:sz w:val="22"/>
          <w:szCs w:val="22"/>
        </w:rPr>
        <w:t>Democracia e Autonomia: Grandes aspirações institucionais.</w:t>
      </w:r>
    </w:p>
    <w:p w14:paraId="73E82532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48570EFF" w14:textId="30637E11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Democracia e autônoma constituem dois aspectos ambicionados no meio universitário, porém, são de difícil delimitação prática, tendo avanços e retrocessos (movimentos pendulares) ao longo dos anos e estando sujeitos a desequilíbrios/reequilíbrios conforme o momento histórico presente.</w:t>
      </w:r>
    </w:p>
    <w:p w14:paraId="4EE7268D" w14:textId="7777777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Dentro das universidades públicas estabelece-se um sistema totalmente atípico no âmbito das organizações, que é o alto nível de democracia.  Certamente uma democracia formal e imperfeita, ao exemplo de não estabelecer distribuição igualitária de votos entre os setores da comunidade, porém nenhuma outra instituição social conseguiu em suas dinâmicas de funcionamento estruturas de participação tão democráticas.</w:t>
      </w:r>
    </w:p>
    <w:p w14:paraId="14BEC7DE" w14:textId="7777777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Quanto a autonomia, apesar de veemente defendida pelos acadêmicos, desde o surgimento da universidade, em seu conteúdo e sentido, foi sendo alterada e enfraquecida em cada um dos contextos que se insere:</w:t>
      </w:r>
    </w:p>
    <w:p w14:paraId="76063E8D" w14:textId="77777777" w:rsidR="00B3781B" w:rsidRPr="00F402A4" w:rsidRDefault="00B3781B" w:rsidP="00F402A4">
      <w:pPr>
        <w:ind w:left="284" w:firstLine="3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t>Político</w:t>
      </w:r>
      <w:r w:rsidRPr="00F402A4">
        <w:rPr>
          <w:sz w:val="22"/>
          <w:szCs w:val="22"/>
        </w:rPr>
        <w:t xml:space="preserve"> – tal poder por vezes definiram o funcionamento, conteúdo de seus programas, critérios de contratação, entre outros, transformando a universidade em um “objeto de transação política” ao expor suas concepções de quais os rumos a serem tomados</w:t>
      </w:r>
    </w:p>
    <w:p w14:paraId="689A9C2F" w14:textId="77777777" w:rsidR="00B3781B" w:rsidRPr="00F402A4" w:rsidRDefault="00B3781B" w:rsidP="00F402A4">
      <w:pPr>
        <w:ind w:left="284" w:firstLine="3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Social – ao se tornar um patrimônio cultural valioso, passou-se a disputar e reivindicar o privilégio de ter uma universidade, além da oferta de cursos.</w:t>
      </w:r>
    </w:p>
    <w:p w14:paraId="0E66A5BF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t xml:space="preserve">Econômico </w:t>
      </w:r>
      <w:r w:rsidRPr="00F402A4">
        <w:rPr>
          <w:sz w:val="22"/>
          <w:szCs w:val="22"/>
        </w:rPr>
        <w:t>– consolidada através do financiamento, visto que os governos reduziram e estão reduzindo o aporte de recursos nas universidades, parcerias tem-se estabelecido com grandes empresas e fundações que orientando pesquisas a serviço do mercado.</w:t>
      </w:r>
    </w:p>
    <w:p w14:paraId="12F14EBB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Institucional – a necessidade de globalização fez com que instituições individualmente perdessem força, sendo necessários fusões e convênios, convergindo para parâmetros comuns e decisões uniformizadas</w:t>
      </w:r>
    </w:p>
    <w:p w14:paraId="6257A95D" w14:textId="77777777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</w:p>
    <w:p w14:paraId="4E661434" w14:textId="073DA10A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>“Em qualquer caso, democracia (participação) e autonomia (identidade) constituem elementos0chave do patrimônio institucional das universidades; no entanto, estão sujeitos a influencias e pressões de todo tipo, que sua contribuição para o funcionamento equilibrado das instituições universitárias não é tão positivo quanto poderia supor. Do modo como se apresentam atualmente, estas são qualidades muito vulneráveis e não-isentas de contradições que acabam afetando o funcionamento global da instituição” (p 78)</w:t>
      </w:r>
    </w:p>
    <w:p w14:paraId="43BB1FE2" w14:textId="77777777" w:rsidR="00B3781B" w:rsidRPr="00F402A4" w:rsidRDefault="00B3781B" w:rsidP="00F402A4">
      <w:pPr>
        <w:jc w:val="center"/>
        <w:rPr>
          <w:b/>
          <w:sz w:val="22"/>
          <w:szCs w:val="22"/>
        </w:rPr>
      </w:pPr>
    </w:p>
    <w:p w14:paraId="3D21F88A" w14:textId="2687D31F" w:rsidR="00B3781B" w:rsidRPr="00F402A4" w:rsidRDefault="00B3781B" w:rsidP="00F402A4">
      <w:pPr>
        <w:jc w:val="center"/>
        <w:rPr>
          <w:b/>
          <w:sz w:val="22"/>
          <w:szCs w:val="22"/>
        </w:rPr>
      </w:pPr>
      <w:r w:rsidRPr="00F402A4">
        <w:rPr>
          <w:b/>
          <w:sz w:val="22"/>
          <w:szCs w:val="22"/>
        </w:rPr>
        <w:t>A universidade como sede de uma cultura organizacional específica</w:t>
      </w:r>
    </w:p>
    <w:p w14:paraId="5D78545D" w14:textId="77777777" w:rsidR="00B3781B" w:rsidRPr="00F402A4" w:rsidRDefault="00B3781B" w:rsidP="00F402A4">
      <w:pPr>
        <w:ind w:left="1416"/>
        <w:jc w:val="both"/>
        <w:rPr>
          <w:i/>
          <w:sz w:val="22"/>
          <w:szCs w:val="22"/>
        </w:rPr>
      </w:pPr>
    </w:p>
    <w:p w14:paraId="5B48A451" w14:textId="7CC2EFD9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>“ As universidades são cultura na medida em que fazer parte de um contexto social e cultural e encarnam suas aspirações, seus recursos, seus estilos de vida e de pensamento, suas contradições, etc. Apesar de sua peculiar idiossincrasia e de sua tendência a manter algumas fronteiras nítidas entre o “interior” e o “exterior” a história das universidades é a mesma dos povos a que pertencem. ” (</w:t>
      </w:r>
      <w:proofErr w:type="gramStart"/>
      <w:r w:rsidRPr="00F402A4">
        <w:rPr>
          <w:i/>
          <w:sz w:val="22"/>
          <w:szCs w:val="22"/>
        </w:rPr>
        <w:t>p</w:t>
      </w:r>
      <w:proofErr w:type="gramEnd"/>
      <w:r w:rsidRPr="00F402A4">
        <w:rPr>
          <w:i/>
          <w:sz w:val="22"/>
          <w:szCs w:val="22"/>
        </w:rPr>
        <w:t xml:space="preserve"> 80)</w:t>
      </w:r>
    </w:p>
    <w:p w14:paraId="605193AA" w14:textId="77777777" w:rsidR="00B3781B" w:rsidRPr="00F402A4" w:rsidRDefault="00B3781B" w:rsidP="00F402A4">
      <w:pPr>
        <w:ind w:left="1416"/>
        <w:jc w:val="both"/>
        <w:rPr>
          <w:i/>
          <w:sz w:val="22"/>
          <w:szCs w:val="22"/>
        </w:rPr>
      </w:pPr>
    </w:p>
    <w:p w14:paraId="0CD49DA2" w14:textId="4AD173BA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 xml:space="preserve">“Há três aspectos muito interessantes das universidades que podemos analisar por meio do conceito de cultura organizacional: a) o conjunto de concepções e símbolos que caracterizam o modo especifico de atuação de cada universidade e que acaba configurando uma </w:t>
      </w:r>
      <w:r w:rsidRPr="00F402A4">
        <w:rPr>
          <w:b/>
          <w:i/>
          <w:sz w:val="22"/>
          <w:szCs w:val="22"/>
        </w:rPr>
        <w:t>identidade</w:t>
      </w:r>
      <w:r w:rsidRPr="00F402A4">
        <w:rPr>
          <w:i/>
          <w:sz w:val="22"/>
          <w:szCs w:val="22"/>
        </w:rPr>
        <w:t xml:space="preserve"> própria e distinta; b) os jogos relacionados que ocorrem em seu espaço interior e que geram </w:t>
      </w:r>
      <w:r w:rsidRPr="00F402A4">
        <w:rPr>
          <w:b/>
          <w:i/>
          <w:sz w:val="22"/>
          <w:szCs w:val="22"/>
        </w:rPr>
        <w:t>conflitos</w:t>
      </w:r>
      <w:r w:rsidRPr="00F402A4">
        <w:rPr>
          <w:i/>
          <w:sz w:val="22"/>
          <w:szCs w:val="22"/>
        </w:rPr>
        <w:t xml:space="preserve"> e, simultaneamente, </w:t>
      </w:r>
      <w:r w:rsidRPr="00F402A4">
        <w:rPr>
          <w:b/>
          <w:i/>
          <w:sz w:val="22"/>
          <w:szCs w:val="22"/>
        </w:rPr>
        <w:t>mudanças</w:t>
      </w:r>
      <w:r w:rsidRPr="00F402A4">
        <w:rPr>
          <w:i/>
          <w:sz w:val="22"/>
          <w:szCs w:val="22"/>
        </w:rPr>
        <w:t xml:space="preserve"> institucionais e c) as ideias, os recursos e as práticas </w:t>
      </w:r>
      <w:r w:rsidRPr="00F402A4">
        <w:rPr>
          <w:i/>
          <w:sz w:val="22"/>
          <w:szCs w:val="22"/>
        </w:rPr>
        <w:lastRenderedPageBreak/>
        <w:t xml:space="preserve">que além de se consolidarem em cada universidade, são tidos como </w:t>
      </w:r>
      <w:r w:rsidRPr="00F402A4">
        <w:rPr>
          <w:b/>
          <w:i/>
          <w:sz w:val="22"/>
          <w:szCs w:val="22"/>
        </w:rPr>
        <w:t>modelos de atuação apropriados</w:t>
      </w:r>
      <w:r w:rsidRPr="00F402A4">
        <w:rPr>
          <w:i/>
          <w:sz w:val="22"/>
          <w:szCs w:val="22"/>
        </w:rPr>
        <w:t>, isto é, servem como referência aso processos de qualificação e desenvolvimento institucional.” (</w:t>
      </w:r>
      <w:proofErr w:type="gramStart"/>
      <w:r w:rsidRPr="00F402A4">
        <w:rPr>
          <w:i/>
          <w:sz w:val="22"/>
          <w:szCs w:val="22"/>
        </w:rPr>
        <w:t>p</w:t>
      </w:r>
      <w:proofErr w:type="gramEnd"/>
      <w:r w:rsidRPr="00F402A4">
        <w:rPr>
          <w:i/>
          <w:sz w:val="22"/>
          <w:szCs w:val="22"/>
        </w:rPr>
        <w:t xml:space="preserve"> 80)</w:t>
      </w:r>
    </w:p>
    <w:p w14:paraId="0BB3AE97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</w:p>
    <w:p w14:paraId="53AFFA09" w14:textId="55B13E66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Identidade – reforçar este aspecto exige um estreitamento dos laços entre comunidade e a instituição, possibilitando maior comprometimento entre as partes. Apesar desse caráter de identificação ser mais fácil em instituições com uma longa história, isto é algo a ser construído no dia-a-dia, indo para além dos grandes ritos e rotinas institucionais (o </w:t>
      </w:r>
      <w:proofErr w:type="spellStart"/>
      <w:r w:rsidRPr="00F402A4">
        <w:rPr>
          <w:sz w:val="22"/>
          <w:szCs w:val="22"/>
        </w:rPr>
        <w:t>inicio</w:t>
      </w:r>
      <w:proofErr w:type="spellEnd"/>
      <w:r w:rsidRPr="00F402A4">
        <w:rPr>
          <w:sz w:val="22"/>
          <w:szCs w:val="22"/>
        </w:rPr>
        <w:t xml:space="preserve"> do curso, formaturas, festividades coletivas) é feito também em pequenas rotinas de encontro entre os diversos setores (atuação em grupos culturais e esportivos, cafezinhos, </w:t>
      </w:r>
      <w:proofErr w:type="spellStart"/>
      <w:r w:rsidRPr="00F402A4">
        <w:rPr>
          <w:sz w:val="22"/>
          <w:szCs w:val="22"/>
        </w:rPr>
        <w:t>etc</w:t>
      </w:r>
      <w:proofErr w:type="spellEnd"/>
      <w:r w:rsidRPr="00F402A4">
        <w:rPr>
          <w:sz w:val="22"/>
          <w:szCs w:val="22"/>
        </w:rPr>
        <w:t>)</w:t>
      </w:r>
    </w:p>
    <w:p w14:paraId="7B300BBB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</w:p>
    <w:p w14:paraId="21180F3A" w14:textId="5F7734C3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Conflitos e mudanças – </w:t>
      </w:r>
      <w:r w:rsidRPr="00F402A4">
        <w:rPr>
          <w:i/>
          <w:sz w:val="22"/>
          <w:szCs w:val="22"/>
        </w:rPr>
        <w:t>“[...] nenhuma organização funciona sem conflito, e, embora isso pareça contraditório, os conflitos não são negativos para o desenvolvimento da instituição, e sim costumam ser oportunidades para provocar mudanças que resolvam as crises que eles originaram. Ambos, o conflito e a mudança, quando ocorrem nas circunstancias adequadas e não ultrapassam certos limites, são necessários para garantir a vitalidade das estruturas institucionais e sua acomodação às condições de troca em que se desenvolvem suas funções. ” (</w:t>
      </w:r>
      <w:proofErr w:type="gramStart"/>
      <w:r w:rsidRPr="00F402A4">
        <w:rPr>
          <w:i/>
          <w:sz w:val="22"/>
          <w:szCs w:val="22"/>
        </w:rPr>
        <w:t>p</w:t>
      </w:r>
      <w:proofErr w:type="gramEnd"/>
      <w:r w:rsidRPr="00F402A4">
        <w:rPr>
          <w:i/>
          <w:sz w:val="22"/>
          <w:szCs w:val="22"/>
        </w:rPr>
        <w:t xml:space="preserve"> 84)</w:t>
      </w:r>
    </w:p>
    <w:p w14:paraId="74B7ECD7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</w:p>
    <w:p w14:paraId="330CE363" w14:textId="7D3EFE8A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Modelos de atuação apropriados – uma análise pedagógica deve estar além da descrição dos fenômenos e assumir, assim, uma natureza propositiva apontando os caminhos possíveis (salto do “ser” para o “deve ser”). Sendo alguns pontos chaves dentro da cultura universitária:</w:t>
      </w:r>
    </w:p>
    <w:p w14:paraId="107C131A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t>Colegialidade</w:t>
      </w:r>
      <w:r w:rsidRPr="00F402A4">
        <w:rPr>
          <w:sz w:val="22"/>
          <w:szCs w:val="22"/>
        </w:rPr>
        <w:t xml:space="preserve"> – </w:t>
      </w:r>
      <w:r w:rsidRPr="00F402A4">
        <w:rPr>
          <w:i/>
          <w:sz w:val="22"/>
          <w:szCs w:val="22"/>
        </w:rPr>
        <w:t xml:space="preserve">“consciência de compartilhar um objetivo e um significado comum dos traços de identidade da instituição da qual faz parte. ” </w:t>
      </w:r>
      <w:r w:rsidRPr="00F402A4">
        <w:rPr>
          <w:sz w:val="22"/>
          <w:szCs w:val="22"/>
        </w:rPr>
        <w:t>(</w:t>
      </w:r>
      <w:proofErr w:type="gramStart"/>
      <w:r w:rsidRPr="00F402A4">
        <w:rPr>
          <w:sz w:val="22"/>
          <w:szCs w:val="22"/>
        </w:rPr>
        <w:t>p</w:t>
      </w:r>
      <w:proofErr w:type="gramEnd"/>
      <w:r w:rsidRPr="00F402A4">
        <w:rPr>
          <w:sz w:val="22"/>
          <w:szCs w:val="22"/>
        </w:rPr>
        <w:t xml:space="preserve"> 87). Constitui uma meta organizativa que exige esforço coletivo, longo prazo e práticas direcionadas a reforçá-la (tal como os mecanismos </w:t>
      </w:r>
      <w:proofErr w:type="spellStart"/>
      <w:r w:rsidRPr="00F402A4">
        <w:rPr>
          <w:sz w:val="22"/>
          <w:szCs w:val="22"/>
        </w:rPr>
        <w:t>identitários</w:t>
      </w:r>
      <w:proofErr w:type="spellEnd"/>
      <w:r w:rsidRPr="00F402A4">
        <w:rPr>
          <w:sz w:val="22"/>
          <w:szCs w:val="22"/>
        </w:rPr>
        <w:t>).</w:t>
      </w:r>
    </w:p>
    <w:p w14:paraId="02F58086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t>Colaboração</w:t>
      </w:r>
      <w:r w:rsidRPr="00F402A4">
        <w:rPr>
          <w:sz w:val="22"/>
          <w:szCs w:val="22"/>
        </w:rPr>
        <w:t xml:space="preserve"> – aplica-se a todo o funcionamento da instituição, sendo estratégias: programações interdisciplinares, programas de inovações didáticas, programas de </w:t>
      </w:r>
      <w:proofErr w:type="spellStart"/>
      <w:r w:rsidRPr="00F402A4">
        <w:rPr>
          <w:sz w:val="22"/>
          <w:szCs w:val="22"/>
        </w:rPr>
        <w:t>tutoramento</w:t>
      </w:r>
      <w:proofErr w:type="spellEnd"/>
      <w:r w:rsidRPr="00F402A4">
        <w:rPr>
          <w:sz w:val="22"/>
          <w:szCs w:val="22"/>
        </w:rPr>
        <w:t xml:space="preserve"> para novos alunos e professores, entre outras iniciativas que se opõem à cultura do individualismo.</w:t>
      </w:r>
    </w:p>
    <w:p w14:paraId="1F505160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t>Reflexão</w:t>
      </w:r>
      <w:r w:rsidRPr="00F402A4">
        <w:rPr>
          <w:sz w:val="22"/>
          <w:szCs w:val="22"/>
        </w:rPr>
        <w:t xml:space="preserve"> – mola mestra onipresente em qualquer referência à formação, opondo-se a uma cultura de rotina e opacidade, refletir não é divagar ou opinar reiteradamente, </w:t>
      </w:r>
      <w:r w:rsidRPr="00F402A4">
        <w:rPr>
          <w:i/>
          <w:sz w:val="22"/>
          <w:szCs w:val="22"/>
        </w:rPr>
        <w:t>“o ato da reflexão exige analisar e avaliar coletivamente os diversos fatores de uma situação, dos quais previamente obtivemos informação adequada, com o objetivo de poder fazer os ajustes ou de tomar iniciativas relativas ao desenvolvimento que sejam convenientes”</w:t>
      </w:r>
      <w:r w:rsidRPr="00F402A4">
        <w:rPr>
          <w:sz w:val="22"/>
          <w:szCs w:val="22"/>
        </w:rPr>
        <w:t xml:space="preserve"> (p 91).</w:t>
      </w:r>
    </w:p>
    <w:p w14:paraId="674E884C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t>Internacionalidade</w:t>
      </w:r>
      <w:r w:rsidRPr="00F402A4">
        <w:rPr>
          <w:sz w:val="22"/>
          <w:szCs w:val="22"/>
        </w:rPr>
        <w:t xml:space="preserve"> – uma das contribuições mais ricas e duradouras que pode ser oferecida aos estudantes, possibilita a vivência de outras culturas e modos de vida, trazendo uma perspectiva global, cosmopolita e sensível da diversidade.</w:t>
      </w:r>
    </w:p>
    <w:p w14:paraId="30526547" w14:textId="77777777" w:rsidR="00B3781B" w:rsidRPr="00F402A4" w:rsidRDefault="00B3781B" w:rsidP="00F402A4">
      <w:pPr>
        <w:jc w:val="center"/>
        <w:rPr>
          <w:b/>
          <w:sz w:val="22"/>
          <w:szCs w:val="22"/>
        </w:rPr>
      </w:pPr>
    </w:p>
    <w:p w14:paraId="4ACFB3D6" w14:textId="4F05E5EC" w:rsidR="00B3781B" w:rsidRPr="00F402A4" w:rsidRDefault="00B3781B" w:rsidP="00F402A4">
      <w:pPr>
        <w:jc w:val="center"/>
        <w:rPr>
          <w:b/>
          <w:sz w:val="22"/>
          <w:szCs w:val="22"/>
        </w:rPr>
      </w:pPr>
      <w:r w:rsidRPr="00F402A4">
        <w:rPr>
          <w:b/>
          <w:sz w:val="22"/>
          <w:szCs w:val="22"/>
        </w:rPr>
        <w:t>Liderança e gestão dos recursos humanos na universidade</w:t>
      </w:r>
    </w:p>
    <w:p w14:paraId="0E4FFC1B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1D32E59F" w14:textId="640426C3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Resultado da união entre poder e autoridade, a liderança, é um dos problemas que se destaca em qualquer organização, sendo preciso “mecanismos institucionais que proporcionem legitimidade e recursos para a tomada de decisões (poder formal, conforme o organograma) e a capacidade de influência interpessoal e reconhecimento por parte dos membros da organização (autoridade) ” (p.93)</w:t>
      </w:r>
    </w:p>
    <w:p w14:paraId="449FC62D" w14:textId="7777777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Nesse sentido, considerando a dificuldade de manutenção de um propósito de formação integrado e coeso em toda instituição, destaca-se o papel daqueles que lideram em instancias intermediarias (faculdades, departamentos, institutos, grupos de pesquisa) que exercem duas funções fundamentais:</w:t>
      </w:r>
    </w:p>
    <w:p w14:paraId="408275C7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t>Liderança transacional</w:t>
      </w:r>
      <w:r w:rsidRPr="00F402A4">
        <w:rPr>
          <w:sz w:val="22"/>
          <w:szCs w:val="22"/>
        </w:rPr>
        <w:t xml:space="preserve"> – garante que as decisões tomadas pela cúpula diretiva sejam seguidas pelas pessoas por elas coordenadas; fazem o elo entre as políticas da instituição e as práticas dos profissionais que a compõe.</w:t>
      </w:r>
    </w:p>
    <w:p w14:paraId="67ED2D6E" w14:textId="77777777" w:rsidR="00B3781B" w:rsidRPr="00F402A4" w:rsidRDefault="00B3781B" w:rsidP="00F402A4">
      <w:pPr>
        <w:ind w:left="284"/>
        <w:jc w:val="both"/>
        <w:rPr>
          <w:sz w:val="22"/>
          <w:szCs w:val="22"/>
        </w:rPr>
      </w:pPr>
      <w:r w:rsidRPr="00F402A4">
        <w:rPr>
          <w:b/>
          <w:sz w:val="22"/>
          <w:szCs w:val="22"/>
        </w:rPr>
        <w:lastRenderedPageBreak/>
        <w:t>Liderança transformacional</w:t>
      </w:r>
      <w:r w:rsidRPr="00F402A4">
        <w:rPr>
          <w:sz w:val="22"/>
          <w:szCs w:val="22"/>
        </w:rPr>
        <w:t xml:space="preserve"> – os líderes intermediários são representantes de seus colegas frente à instituição; são agentes da mudança da cultura da instituição e da sua dinâmica de funcionamento.</w:t>
      </w:r>
    </w:p>
    <w:p w14:paraId="16ACCC30" w14:textId="77777777" w:rsidR="00B3781B" w:rsidRPr="00F402A4" w:rsidRDefault="00B3781B" w:rsidP="00F402A4">
      <w:pPr>
        <w:jc w:val="center"/>
        <w:rPr>
          <w:b/>
          <w:sz w:val="22"/>
          <w:szCs w:val="22"/>
        </w:rPr>
      </w:pPr>
    </w:p>
    <w:p w14:paraId="10F4C282" w14:textId="0E560FE7" w:rsidR="00B3781B" w:rsidRPr="00F402A4" w:rsidRDefault="00B3781B" w:rsidP="00F402A4">
      <w:pPr>
        <w:jc w:val="center"/>
        <w:rPr>
          <w:b/>
          <w:sz w:val="22"/>
          <w:szCs w:val="22"/>
        </w:rPr>
      </w:pPr>
      <w:r w:rsidRPr="00F402A4">
        <w:rPr>
          <w:b/>
          <w:sz w:val="22"/>
          <w:szCs w:val="22"/>
        </w:rPr>
        <w:t>A universidade como local que aprende</w:t>
      </w:r>
    </w:p>
    <w:p w14:paraId="7D6F55CD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18D6BE22" w14:textId="7E221AE9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As universidades podem aprender?</w:t>
      </w:r>
    </w:p>
    <w:p w14:paraId="0148EE14" w14:textId="77777777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>“ A resposta inicial poderia seguir esta linha de raciocínio: como qualquer organização, as universidades, apesar de sua complexidade, “aprendem”, tendo em vista que incorporam novos dispositivos para enfrentar as nossas demandas, ajustam sua praticas, desenvolvem processos de “adaptação” interna e externa e assim por diante. Enfim, buscam esse “equilíbrio” consubstancial a todos os sistemas abertos.</w:t>
      </w:r>
    </w:p>
    <w:p w14:paraId="65E232EE" w14:textId="77777777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>Por outro lado, seriamos ingênuos caso confundíssemos esse “aprender”, unido ao mero fato de existir a necessidade de se adaptar, com o que hoje se entende por processos de “desenvolvimento institucional”, isto é, processos dirigidos à qualificação das instituições, ao melhor cumprimento de suas funções (ou, como atualmente é “moda” dizer, sua “missão”). Isso quer dizer que nem todas as mudanças nem todas as adaptações constituem passos para o crescimento. ” (</w:t>
      </w:r>
      <w:proofErr w:type="gramStart"/>
      <w:r w:rsidRPr="00F402A4">
        <w:rPr>
          <w:i/>
          <w:sz w:val="22"/>
          <w:szCs w:val="22"/>
        </w:rPr>
        <w:t>p</w:t>
      </w:r>
      <w:proofErr w:type="gramEnd"/>
      <w:r w:rsidRPr="00F402A4">
        <w:rPr>
          <w:i/>
          <w:sz w:val="22"/>
          <w:szCs w:val="22"/>
        </w:rPr>
        <w:t xml:space="preserve"> 96)</w:t>
      </w:r>
    </w:p>
    <w:p w14:paraId="65D6E7BD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31C8C11C" w14:textId="321B8C02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Sendo possível o aprendizado é preciso a adoção de um método, como em qualquer aprendizagem.</w:t>
      </w:r>
    </w:p>
    <w:p w14:paraId="7DA51CA5" w14:textId="77777777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 xml:space="preserve"> “A aprendizagem institucional ocorre quando as mudanças (talvez seja melhor falar em ajustes) atingem os objetivos de um processo de qualificação bem planejado. Como qualquer aprendizagem, este é um processo que envolve diversas fases: reconhecimento da situação inicial (diagnóstico da situação, avaliações setoriais, etc.); exploração de iniciativas de ajuste e/ou desenvolvimento adotadas a partir dos dados disponíveis (momento das mudanças justificadas e das inovações); consolidação das novas práticas ou dos novos dispositivos (a partir de avaliações sistemáticas de sua adequação e de suas contribuições efetivas para o crescimento da instituição). ” (</w:t>
      </w:r>
      <w:proofErr w:type="gramStart"/>
      <w:r w:rsidRPr="00F402A4">
        <w:rPr>
          <w:i/>
          <w:sz w:val="22"/>
          <w:szCs w:val="22"/>
        </w:rPr>
        <w:t>p</w:t>
      </w:r>
      <w:proofErr w:type="gramEnd"/>
      <w:r w:rsidRPr="00F402A4">
        <w:rPr>
          <w:i/>
          <w:sz w:val="22"/>
          <w:szCs w:val="22"/>
        </w:rPr>
        <w:t xml:space="preserve"> 97)</w:t>
      </w:r>
    </w:p>
    <w:p w14:paraId="114188DE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4248DF1A" w14:textId="008534A7" w:rsidR="00B3781B" w:rsidRPr="00F402A4" w:rsidRDefault="00B3781B" w:rsidP="00F402A4">
      <w:pPr>
        <w:jc w:val="both"/>
        <w:rPr>
          <w:sz w:val="22"/>
          <w:szCs w:val="22"/>
        </w:rPr>
      </w:pPr>
      <w:r w:rsidRPr="00F402A4">
        <w:rPr>
          <w:sz w:val="22"/>
          <w:szCs w:val="22"/>
        </w:rPr>
        <w:t>Para aprender é necessário também desaprender:</w:t>
      </w:r>
    </w:p>
    <w:p w14:paraId="00A3B759" w14:textId="77777777" w:rsidR="00B3781B" w:rsidRPr="00F402A4" w:rsidRDefault="00B3781B" w:rsidP="00F402A4">
      <w:pPr>
        <w:ind w:left="284"/>
        <w:jc w:val="both"/>
        <w:rPr>
          <w:i/>
          <w:sz w:val="22"/>
          <w:szCs w:val="22"/>
        </w:rPr>
      </w:pPr>
      <w:r w:rsidRPr="00F402A4">
        <w:rPr>
          <w:i/>
          <w:sz w:val="22"/>
          <w:szCs w:val="22"/>
        </w:rPr>
        <w:t>“[...] traduz-se na capacidade de “desconstruir” a situação vigente do sistema, de seus significados e de suas práticas e de reconstruí-la com um novo significado ou com um novo tipo de intervenções, o qual será o conteúdo da aprendizagem, isto é, o que essa organização aprenderá” (p104)</w:t>
      </w:r>
    </w:p>
    <w:p w14:paraId="23BD8F13" w14:textId="77777777" w:rsidR="00B3781B" w:rsidRPr="00F402A4" w:rsidRDefault="00B3781B" w:rsidP="00F402A4">
      <w:pPr>
        <w:jc w:val="both"/>
        <w:rPr>
          <w:sz w:val="22"/>
          <w:szCs w:val="22"/>
        </w:rPr>
      </w:pPr>
    </w:p>
    <w:p w14:paraId="741650AB" w14:textId="148BE26B" w:rsidR="00B3781B" w:rsidRPr="00F402A4" w:rsidRDefault="00B3781B" w:rsidP="00F402A4">
      <w:pPr>
        <w:rPr>
          <w:b/>
          <w:sz w:val="22"/>
          <w:szCs w:val="22"/>
        </w:rPr>
      </w:pPr>
    </w:p>
    <w:p w14:paraId="4CC8B44A" w14:textId="7EE8706D" w:rsidR="00B3781B" w:rsidRPr="00F402A4" w:rsidRDefault="00B3781B" w:rsidP="00F402A4">
      <w:pPr>
        <w:pStyle w:val="PargrafodaLista"/>
        <w:numPr>
          <w:ilvl w:val="1"/>
          <w:numId w:val="2"/>
        </w:numPr>
        <w:ind w:left="0" w:firstLine="0"/>
        <w:outlineLvl w:val="1"/>
        <w:rPr>
          <w:b/>
          <w:i/>
          <w:sz w:val="24"/>
          <w:szCs w:val="24"/>
        </w:rPr>
      </w:pPr>
      <w:bookmarkStart w:id="6" w:name="_Toc7027614"/>
      <w:r w:rsidRPr="00F402A4">
        <w:rPr>
          <w:b/>
          <w:i/>
          <w:sz w:val="24"/>
          <w:szCs w:val="24"/>
        </w:rPr>
        <w:t>Capítulo</w:t>
      </w:r>
      <w:r w:rsidRPr="00F402A4">
        <w:rPr>
          <w:b/>
          <w:i/>
          <w:sz w:val="24"/>
          <w:szCs w:val="24"/>
        </w:rPr>
        <w:t xml:space="preserve"> 3</w:t>
      </w:r>
      <w:r w:rsidRPr="00F402A4">
        <w:rPr>
          <w:b/>
          <w:i/>
          <w:sz w:val="24"/>
          <w:szCs w:val="24"/>
        </w:rPr>
        <w:t xml:space="preserve">. </w:t>
      </w:r>
      <w:r w:rsidRPr="00F402A4">
        <w:rPr>
          <w:b/>
          <w:i/>
          <w:sz w:val="24"/>
          <w:szCs w:val="24"/>
        </w:rPr>
        <w:t>Os professores universitários</w:t>
      </w:r>
      <w:bookmarkEnd w:id="6"/>
    </w:p>
    <w:p w14:paraId="362DFDDC" w14:textId="1D70A8EE" w:rsidR="00B3781B" w:rsidRPr="00F402A4" w:rsidRDefault="00B3781B" w:rsidP="00F402A4">
      <w:pPr>
        <w:pStyle w:val="PargrafodaLista"/>
        <w:ind w:left="0"/>
        <w:outlineLvl w:val="1"/>
        <w:rPr>
          <w:b/>
          <w:i/>
          <w:sz w:val="22"/>
          <w:szCs w:val="22"/>
        </w:rPr>
      </w:pPr>
    </w:p>
    <w:p w14:paraId="7712E7F6" w14:textId="77777777" w:rsidR="00B3781B" w:rsidRPr="00F402A4" w:rsidRDefault="00B3781B" w:rsidP="00F402A4">
      <w:pPr>
        <w:tabs>
          <w:tab w:val="center" w:pos="4252"/>
          <w:tab w:val="right" w:pos="8504"/>
        </w:tabs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“Sendo as universidades instituições formativas, ninguém deveria desprezar nem o papel dessa função primordial, nem a importância daqueles que a </w:t>
      </w:r>
      <w:proofErr w:type="gramStart"/>
      <w:r w:rsidRPr="00F402A4">
        <w:rPr>
          <w:sz w:val="22"/>
          <w:szCs w:val="22"/>
        </w:rPr>
        <w:t>exercem.”</w:t>
      </w:r>
      <w:proofErr w:type="gramEnd"/>
      <w:r w:rsidRPr="00F402A4">
        <w:rPr>
          <w:sz w:val="22"/>
          <w:szCs w:val="22"/>
        </w:rPr>
        <w:t xml:space="preserve"> Esta frase compõe o início do terceiro capítulo e resume o que esta parte do livro tenta trazer, ou seja, uma abordagem direta do que é, o que foi e o que deveria ser o papel docente no contexto da universidade, em especial a universidade pública, e as diversas facetas de quem compõe este papel.  </w:t>
      </w:r>
    </w:p>
    <w:p w14:paraId="2B59AE7F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ab/>
        <w:t xml:space="preserve">As universidades possuem como papel primordial uma “função formativa”, entretanto existem várias maneiras de entender essa função e até mesmo de subjetivá-la, pois essas instituições são formadas por diversas camadas de conhecimentos e funcionalidades. Segundo </w:t>
      </w:r>
      <w:proofErr w:type="spellStart"/>
      <w:r w:rsidRPr="00F402A4">
        <w:rPr>
          <w:sz w:val="22"/>
          <w:szCs w:val="22"/>
        </w:rPr>
        <w:t>Zabalza</w:t>
      </w:r>
      <w:proofErr w:type="spellEnd"/>
      <w:r w:rsidRPr="00F402A4">
        <w:rPr>
          <w:sz w:val="22"/>
          <w:szCs w:val="22"/>
        </w:rPr>
        <w:t xml:space="preserve">, essas instituições foram transformadas em centros de produção, o que também pode ser entendido como o desvinculo com a importância de uma construção contínua de crescimento intelectual dos indivíduos e passa a ser uma formadora de massas. Isso se reflete em como as universidades são classificadas de maneira hierárquica, as quais são ranqueadas com base em indicadores de produção científica e técnica, ficando o nível de formação como variável de menor importância. </w:t>
      </w:r>
    </w:p>
    <w:p w14:paraId="2A8807CB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Tal classificação contempla a construção da identidade profissional de professores e o que </w:t>
      </w:r>
      <w:proofErr w:type="spellStart"/>
      <w:r w:rsidRPr="00F402A4">
        <w:rPr>
          <w:sz w:val="22"/>
          <w:szCs w:val="22"/>
        </w:rPr>
        <w:t>Zabalza</w:t>
      </w:r>
      <w:proofErr w:type="spellEnd"/>
      <w:r w:rsidRPr="00F402A4">
        <w:rPr>
          <w:sz w:val="22"/>
          <w:szCs w:val="22"/>
        </w:rPr>
        <w:t xml:space="preserve"> chama de “A ética da praticidade”, onde os profissionais são identificados com base na </w:t>
      </w:r>
      <w:r w:rsidRPr="00F402A4">
        <w:rPr>
          <w:sz w:val="22"/>
          <w:szCs w:val="22"/>
        </w:rPr>
        <w:lastRenderedPageBreak/>
        <w:t xml:space="preserve">produção científica ou atividades que geram méritos acadêmicos. É muito frequente que docentes de universidades se </w:t>
      </w:r>
      <w:proofErr w:type="spellStart"/>
      <w:r w:rsidRPr="00F402A4">
        <w:rPr>
          <w:sz w:val="22"/>
          <w:szCs w:val="22"/>
        </w:rPr>
        <w:t>autodefinam</w:t>
      </w:r>
      <w:proofErr w:type="spellEnd"/>
      <w:r w:rsidRPr="00F402A4">
        <w:rPr>
          <w:sz w:val="22"/>
          <w:szCs w:val="22"/>
        </w:rPr>
        <w:t xml:space="preserve"> sob o âmbito científico (psicóloga, bióloga, engenheira) do que como professoras (es), pois sua identidade está mais centrada na sua área de especialidade do que na docência. Este tipo de </w:t>
      </w:r>
      <w:proofErr w:type="spellStart"/>
      <w:r w:rsidRPr="00F402A4">
        <w:rPr>
          <w:sz w:val="22"/>
          <w:szCs w:val="22"/>
        </w:rPr>
        <w:t>autodefinição</w:t>
      </w:r>
      <w:proofErr w:type="spellEnd"/>
      <w:r w:rsidRPr="00F402A4">
        <w:rPr>
          <w:sz w:val="22"/>
          <w:szCs w:val="22"/>
        </w:rPr>
        <w:t xml:space="preserve"> gera uma ideia de que não são necessários conhecimentos para o trabalho docente, e sim experiência e “vocação”, levando a conhecida frase “ensinar se aprende ensinando”. </w:t>
      </w:r>
    </w:p>
    <w:p w14:paraId="3F9FBF6D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A docência deixou de ser prioridade nas universidades e também das pessoas que se propõem ao papel docente. E a função, que antes era de transmissão do conhecimento, passou a ser de facilitar o conhecimento. </w:t>
      </w:r>
      <w:proofErr w:type="spellStart"/>
      <w:r w:rsidRPr="00F402A4">
        <w:rPr>
          <w:sz w:val="22"/>
          <w:szCs w:val="22"/>
        </w:rPr>
        <w:t>Zabalza</w:t>
      </w:r>
      <w:proofErr w:type="spellEnd"/>
      <w:r w:rsidRPr="00F402A4">
        <w:rPr>
          <w:sz w:val="22"/>
          <w:szCs w:val="22"/>
        </w:rPr>
        <w:t xml:space="preserve"> propõe que é na função aprendizagem que docentes de universidades devem centrar a ação, ou seja, na assimilação e maneiras de fazer o conhecimento ser efetivo e útil. </w:t>
      </w:r>
    </w:p>
    <w:p w14:paraId="6E7F99C7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Brown e Atkins (1994) sugerem que a visão profissional do ensino parte de duas questões prévias: </w:t>
      </w:r>
    </w:p>
    <w:p w14:paraId="303B57B0" w14:textId="77777777" w:rsidR="00B3781B" w:rsidRPr="00F402A4" w:rsidRDefault="00B3781B" w:rsidP="00F402A4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ind w:left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Chegar a um ensino efetivo é uma tarefa complexa e um grande desafio social, com altas exigências pessoais;</w:t>
      </w:r>
    </w:p>
    <w:p w14:paraId="6F9FC018" w14:textId="77777777" w:rsidR="00B3781B" w:rsidRPr="00F402A4" w:rsidRDefault="00B3781B" w:rsidP="00F402A4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ind w:left="709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Ensinar efetivamente consiste em uma série de habilidades básicas que podem ser adquiridas, melhoradas e ampliadas por meio de um processo consistente de formação. </w:t>
      </w:r>
    </w:p>
    <w:p w14:paraId="5E994BA8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Para o exercício docente profissional não é suficiente dominar os conteúdos nem realizar uma pesquisa reconhecida na área. Na verdade, essa profissionalização refere-se mais aos alunos e ao modo como podemos agir para que aprendam, de fato, o que pretendemos ensinar-lhes. </w:t>
      </w:r>
    </w:p>
    <w:p w14:paraId="39F85E73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proofErr w:type="spellStart"/>
      <w:r w:rsidRPr="00F402A4">
        <w:rPr>
          <w:sz w:val="22"/>
          <w:szCs w:val="22"/>
        </w:rPr>
        <w:t>Zibalza</w:t>
      </w:r>
      <w:proofErr w:type="spellEnd"/>
      <w:r w:rsidRPr="00F402A4">
        <w:rPr>
          <w:sz w:val="22"/>
          <w:szCs w:val="22"/>
        </w:rPr>
        <w:t xml:space="preserve"> acredita que a função formativa dos docentes universitários é indefinida, o que dificulta a avaliação do desempenho deste indivíduo, fazendo surgir a seguinte questão: o que se espera, de fato, de um professor da universidade? O que se espera é uma formação que se distancie da especialização, uma formação flexível e centrada na capacidade de se adaptar a situações e resolução de problemas. Ao mesmo tempo busca-se uma formação que potencialize a maturidade pessoal e o compromisso ético e pessoal. </w:t>
      </w:r>
    </w:p>
    <w:p w14:paraId="084C2345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Essa é uma questão que não se pode refletir e tampouco responder de maneira isolada, porque a formação docente é totalmente influenciada pelas relações que se cria, em diferentes esperas, com discentes universitários. Isso leva a outra questão: o que os estudantes universitários esperam de nós? Tais relações também têm passado por mudanças significativas e o contato entre docentes e discentes possui um amplo espaço devido à massificação das universidades. O autor cita, em outras palavras, que esse espaço é devido ao fácil acesso a </w:t>
      </w:r>
      <w:proofErr w:type="spellStart"/>
      <w:r w:rsidRPr="00F402A4">
        <w:rPr>
          <w:sz w:val="22"/>
          <w:szCs w:val="22"/>
        </w:rPr>
        <w:t>conteúdos</w:t>
      </w:r>
      <w:proofErr w:type="spellEnd"/>
      <w:r w:rsidRPr="00F402A4">
        <w:rPr>
          <w:sz w:val="22"/>
          <w:szCs w:val="22"/>
        </w:rPr>
        <w:t xml:space="preserve"> diversos que os estudantes têm. Esse fator, ao passo que dá maior autonomia para os discentes, influencia no decaimento da influência formativa direta dos docentes. </w:t>
      </w:r>
    </w:p>
    <w:p w14:paraId="6BF1B819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As relações docentes – discentes podem ser estreitadas por meio da inclusão de atividades de imersão social nas diversas áreas do conhecimento, na qual os estudantes devem ser estimulados a realizá-las com o objetivo de conhecer ou resolver problemas sociais que dizem respeito ao âmbito profissional para o que se preparam. </w:t>
      </w:r>
    </w:p>
    <w:p w14:paraId="33309377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Um fator interessante e fundamental dentro da construção docente são os dilemas da identidade profissional. A principal característica dos dilemas é que nenhum dos extremos é convincente e que de maneira individual são insuficientes. O autor cita individualismo/coordenação, pesquisa/docência, generalização/especialização e ensino/aprendizagem, sendo dentro de cada um desses dilemas diferentes para cada indivíduo na maneira como reflete a construção pessoal e profissional, o que também é um dilema. </w:t>
      </w:r>
      <w:proofErr w:type="spellStart"/>
      <w:r w:rsidRPr="00F402A4">
        <w:rPr>
          <w:sz w:val="22"/>
          <w:szCs w:val="22"/>
        </w:rPr>
        <w:t>Zibalza</w:t>
      </w:r>
      <w:proofErr w:type="spellEnd"/>
      <w:r w:rsidRPr="00F402A4">
        <w:rPr>
          <w:sz w:val="22"/>
          <w:szCs w:val="22"/>
        </w:rPr>
        <w:t xml:space="preserve"> propõe uma questão intrigante e difícil de responder: Como equilibrar o eixo profissional com o pessoal? </w:t>
      </w:r>
    </w:p>
    <w:p w14:paraId="699603C9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Esta questão dialoga com a dimensão pessoal e profissional do docente, onde temos como pontos a satisfação pessoal e profissional e a carreira docente, ambos estreitamente relacionados entre si. No contexto universitário existe um dilema dentro dessas dimensões, onde por um lado temos que o pessoal desaparece ou se torna invisível no exercício profissional, e por outro de que boa parte da nossa capacidade de influência nos estudantes parte do que somos como pessoas. </w:t>
      </w:r>
    </w:p>
    <w:p w14:paraId="3B1C21C4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Outro ponto argumentado é a carreira docente, que é dividida em duas perspectivas distintas e os estágios em cada uma delas:</w:t>
      </w:r>
    </w:p>
    <w:p w14:paraId="41483DAF" w14:textId="77777777" w:rsidR="00B3781B" w:rsidRPr="00F402A4" w:rsidRDefault="00B3781B" w:rsidP="00F402A4">
      <w:pPr>
        <w:pStyle w:val="PargrafodaLista"/>
        <w:numPr>
          <w:ilvl w:val="0"/>
          <w:numId w:val="6"/>
        </w:numPr>
        <w:tabs>
          <w:tab w:val="center" w:pos="4252"/>
          <w:tab w:val="right" w:pos="8504"/>
        </w:tabs>
        <w:ind w:left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Carreira acadêmica: o processo para atingir o status profissional, com consequências relativas ao reconhecimento institucional e ao salário;</w:t>
      </w:r>
    </w:p>
    <w:p w14:paraId="0B73487B" w14:textId="77777777" w:rsidR="00B3781B" w:rsidRPr="00F402A4" w:rsidRDefault="00B3781B" w:rsidP="00F402A4">
      <w:pPr>
        <w:pStyle w:val="PargrafodaLista"/>
        <w:numPr>
          <w:ilvl w:val="0"/>
          <w:numId w:val="6"/>
        </w:numPr>
        <w:tabs>
          <w:tab w:val="center" w:pos="4252"/>
          <w:tab w:val="right" w:pos="8504"/>
        </w:tabs>
        <w:ind w:left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lastRenderedPageBreak/>
        <w:t xml:space="preserve">Carreira profissional: fases ou momentos pessoais pelos quais </w:t>
      </w:r>
      <w:proofErr w:type="gramStart"/>
      <w:r w:rsidRPr="00F402A4">
        <w:rPr>
          <w:sz w:val="22"/>
          <w:szCs w:val="22"/>
        </w:rPr>
        <w:t>os docentes costuma</w:t>
      </w:r>
      <w:proofErr w:type="gramEnd"/>
      <w:r w:rsidRPr="00F402A4">
        <w:rPr>
          <w:sz w:val="22"/>
          <w:szCs w:val="22"/>
        </w:rPr>
        <w:t xml:space="preserve"> passar até alcançar uma plenitude profissional, com consequências que se referem à autoestima e à identidade profissional. </w:t>
      </w:r>
    </w:p>
    <w:p w14:paraId="60B04B5B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Ambas as perspectivas caminham lado a lado, visto que o exercício profissional depende do crescimento profissional, e este, não é algo que depende de cada pessoa, ou seja, é preciso que aconteça uma confluência de condições favoráveis (influências, apoio de pessoas próximas) para que o crescimento pessoal e profissional resulte num exercício de máxima qualidade. </w:t>
      </w:r>
    </w:p>
    <w:p w14:paraId="6647D67F" w14:textId="77777777" w:rsidR="00B3781B" w:rsidRPr="00F402A4" w:rsidRDefault="00B3781B" w:rsidP="00F402A4">
      <w:pPr>
        <w:tabs>
          <w:tab w:val="center" w:pos="4252"/>
          <w:tab w:val="right" w:pos="8504"/>
        </w:tabs>
        <w:ind w:firstLine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Dentro dessas ideias, o autor descreve alguns novos parâmetros para a profissionalização docente, que são: </w:t>
      </w:r>
    </w:p>
    <w:p w14:paraId="6CFCAA50" w14:textId="77777777" w:rsidR="00B3781B" w:rsidRPr="00F402A4" w:rsidRDefault="00B3781B" w:rsidP="00F402A4">
      <w:pPr>
        <w:pStyle w:val="PargrafodaLista"/>
        <w:numPr>
          <w:ilvl w:val="0"/>
          <w:numId w:val="7"/>
        </w:numPr>
        <w:tabs>
          <w:tab w:val="center" w:pos="4252"/>
          <w:tab w:val="right" w:pos="8504"/>
        </w:tabs>
        <w:ind w:left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Reflexão sobre a própria prática, onde se assemelhas às ideias de Paulo Freire no que diz respeito a reflexão e compromisso;</w:t>
      </w:r>
    </w:p>
    <w:p w14:paraId="341EB9A5" w14:textId="77777777" w:rsidR="00B3781B" w:rsidRPr="00F402A4" w:rsidRDefault="00B3781B" w:rsidP="00F402A4">
      <w:pPr>
        <w:pStyle w:val="PargrafodaLista"/>
        <w:numPr>
          <w:ilvl w:val="0"/>
          <w:numId w:val="7"/>
        </w:numPr>
        <w:tabs>
          <w:tab w:val="center" w:pos="4252"/>
          <w:tab w:val="right" w:pos="8504"/>
        </w:tabs>
        <w:ind w:left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Trabalho em equipe e cooperação, como propósito se relacionar menos com o domínio da própria disciplina ou projetos de pesquisa individuais;</w:t>
      </w:r>
    </w:p>
    <w:p w14:paraId="19C4CF14" w14:textId="77777777" w:rsidR="00B3781B" w:rsidRPr="00F402A4" w:rsidRDefault="00B3781B" w:rsidP="00F402A4">
      <w:pPr>
        <w:pStyle w:val="PargrafodaLista"/>
        <w:numPr>
          <w:ilvl w:val="0"/>
          <w:numId w:val="7"/>
        </w:numPr>
        <w:tabs>
          <w:tab w:val="center" w:pos="4252"/>
          <w:tab w:val="right" w:pos="8504"/>
        </w:tabs>
        <w:ind w:left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Orientação para o mercado de trabalho, uma quebra da prática de seleção em função das competências em pesquisa ao invés do cargo oferecido;</w:t>
      </w:r>
    </w:p>
    <w:p w14:paraId="2E48E777" w14:textId="77777777" w:rsidR="00B3781B" w:rsidRPr="00F402A4" w:rsidRDefault="00B3781B" w:rsidP="00F402A4">
      <w:pPr>
        <w:pStyle w:val="PargrafodaLista"/>
        <w:numPr>
          <w:ilvl w:val="0"/>
          <w:numId w:val="7"/>
        </w:numPr>
        <w:tabs>
          <w:tab w:val="center" w:pos="4252"/>
          <w:tab w:val="right" w:pos="8504"/>
        </w:tabs>
        <w:ind w:left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>Ensino planejado a partir da aprendizagem e da didática;</w:t>
      </w:r>
    </w:p>
    <w:p w14:paraId="3DE498B9" w14:textId="77777777" w:rsidR="00B3781B" w:rsidRPr="00F402A4" w:rsidRDefault="00B3781B" w:rsidP="00F402A4">
      <w:pPr>
        <w:pStyle w:val="PargrafodaLista"/>
        <w:numPr>
          <w:ilvl w:val="0"/>
          <w:numId w:val="7"/>
        </w:numPr>
        <w:tabs>
          <w:tab w:val="center" w:pos="4252"/>
          <w:tab w:val="right" w:pos="8504"/>
        </w:tabs>
        <w:ind w:left="567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Recuperação da dimensão ética da profissão docente, onde se busca a regeneração do compromisso ético dos responsáveis, os chamados códigos deontológicos. </w:t>
      </w:r>
    </w:p>
    <w:p w14:paraId="060D7B4C" w14:textId="77777777" w:rsidR="00B3781B" w:rsidRPr="00F402A4" w:rsidRDefault="00B3781B" w:rsidP="00F402A4">
      <w:pPr>
        <w:pStyle w:val="PargrafodaLista"/>
        <w:ind w:left="0"/>
        <w:outlineLvl w:val="1"/>
        <w:rPr>
          <w:b/>
          <w:i/>
          <w:sz w:val="22"/>
          <w:szCs w:val="22"/>
        </w:rPr>
      </w:pPr>
    </w:p>
    <w:p w14:paraId="0D438E04" w14:textId="72EF1FE5" w:rsidR="000362C9" w:rsidRPr="00F402A4" w:rsidRDefault="000362C9" w:rsidP="00F402A4">
      <w:pPr>
        <w:pStyle w:val="PargrafodaLista"/>
        <w:numPr>
          <w:ilvl w:val="1"/>
          <w:numId w:val="2"/>
        </w:numPr>
        <w:ind w:left="0" w:firstLine="0"/>
        <w:outlineLvl w:val="1"/>
        <w:rPr>
          <w:b/>
          <w:i/>
          <w:sz w:val="24"/>
          <w:szCs w:val="24"/>
        </w:rPr>
      </w:pPr>
      <w:bookmarkStart w:id="7" w:name="_Toc7027615"/>
      <w:r w:rsidRPr="00F402A4">
        <w:rPr>
          <w:b/>
          <w:i/>
          <w:sz w:val="24"/>
          <w:szCs w:val="24"/>
        </w:rPr>
        <w:t xml:space="preserve">Capítulo </w:t>
      </w:r>
      <w:r w:rsidRPr="00F402A4">
        <w:rPr>
          <w:b/>
          <w:i/>
          <w:sz w:val="24"/>
          <w:szCs w:val="24"/>
        </w:rPr>
        <w:t>4</w:t>
      </w:r>
      <w:r w:rsidRPr="00F402A4">
        <w:rPr>
          <w:b/>
          <w:i/>
          <w:sz w:val="24"/>
          <w:szCs w:val="24"/>
        </w:rPr>
        <w:t xml:space="preserve">. </w:t>
      </w:r>
      <w:r w:rsidRPr="00F402A4">
        <w:rPr>
          <w:b/>
          <w:i/>
          <w:sz w:val="24"/>
          <w:szCs w:val="24"/>
        </w:rPr>
        <w:t>Formação do docente universitário</w:t>
      </w:r>
      <w:bookmarkEnd w:id="7"/>
    </w:p>
    <w:p w14:paraId="5AA781F6" w14:textId="67319840" w:rsidR="00F402A4" w:rsidRPr="00F402A4" w:rsidRDefault="00F402A4" w:rsidP="00F402A4">
      <w:pPr>
        <w:pStyle w:val="PargrafodaLista"/>
        <w:ind w:left="0"/>
        <w:outlineLvl w:val="1"/>
        <w:rPr>
          <w:b/>
          <w:i/>
          <w:sz w:val="22"/>
          <w:szCs w:val="22"/>
        </w:rPr>
      </w:pPr>
    </w:p>
    <w:p w14:paraId="55926195" w14:textId="664D16A7" w:rsidR="00F402A4" w:rsidRPr="00F402A4" w:rsidRDefault="00F402A4" w:rsidP="00F402A4">
      <w:pPr>
        <w:ind w:firstLine="708"/>
        <w:jc w:val="both"/>
        <w:rPr>
          <w:sz w:val="22"/>
          <w:szCs w:val="22"/>
        </w:rPr>
      </w:pPr>
      <w:proofErr w:type="spellStart"/>
      <w:r w:rsidRPr="00F402A4">
        <w:rPr>
          <w:sz w:val="22"/>
          <w:szCs w:val="22"/>
        </w:rPr>
        <w:t>Zabalza</w:t>
      </w:r>
      <w:proofErr w:type="spellEnd"/>
      <w:r w:rsidRPr="00F402A4">
        <w:rPr>
          <w:sz w:val="22"/>
          <w:szCs w:val="22"/>
        </w:rPr>
        <w:t xml:space="preserve"> busca refletir sobre a formação do docente universitário, seus desafios e soluções para sua efetivação. O texto enfatiza que o maior desastre didático ocorrido no ensino (não apenas da universidade) foi tornar independente o</w:t>
      </w:r>
      <w:r>
        <w:rPr>
          <w:sz w:val="22"/>
          <w:szCs w:val="22"/>
        </w:rPr>
        <w:t xml:space="preserve"> processo de ensinar e aprender. P</w:t>
      </w:r>
      <w:r w:rsidRPr="00F402A4">
        <w:rPr>
          <w:sz w:val="22"/>
          <w:szCs w:val="22"/>
        </w:rPr>
        <w:t>ortanto</w:t>
      </w:r>
      <w:r>
        <w:rPr>
          <w:sz w:val="22"/>
          <w:szCs w:val="22"/>
        </w:rPr>
        <w:t>,</w:t>
      </w:r>
      <w:r w:rsidRPr="00F402A4">
        <w:rPr>
          <w:sz w:val="22"/>
          <w:szCs w:val="22"/>
        </w:rPr>
        <w:t xml:space="preserve"> a formação do</w:t>
      </w:r>
      <w:r>
        <w:rPr>
          <w:sz w:val="22"/>
          <w:szCs w:val="22"/>
        </w:rPr>
        <w:t xml:space="preserve"> docente</w:t>
      </w:r>
      <w:r w:rsidRPr="00F402A4">
        <w:rPr>
          <w:sz w:val="22"/>
          <w:szCs w:val="22"/>
        </w:rPr>
        <w:t xml:space="preserve"> seria uma ferramenta para </w:t>
      </w:r>
      <w:r>
        <w:rPr>
          <w:sz w:val="22"/>
          <w:szCs w:val="22"/>
        </w:rPr>
        <w:t>orientar e melhorar os</w:t>
      </w:r>
      <w:r w:rsidRPr="00F402A4">
        <w:rPr>
          <w:sz w:val="22"/>
          <w:szCs w:val="22"/>
        </w:rPr>
        <w:t xml:space="preserve"> processos de ensino e aprendizagem frente as </w:t>
      </w:r>
      <w:r w:rsidRPr="00F402A4">
        <w:rPr>
          <w:sz w:val="22"/>
          <w:szCs w:val="22"/>
        </w:rPr>
        <w:t>mudanças sociais e tecnológicas ocorridas</w:t>
      </w:r>
      <w:r w:rsidRPr="00F402A4">
        <w:rPr>
          <w:sz w:val="22"/>
          <w:szCs w:val="22"/>
        </w:rPr>
        <w:t xml:space="preserve"> nos últimos anos.</w:t>
      </w:r>
    </w:p>
    <w:p w14:paraId="4006F002" w14:textId="77777777" w:rsidR="00F402A4" w:rsidRDefault="00F402A4" w:rsidP="00F402A4">
      <w:pPr>
        <w:ind w:firstLine="708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Pr="00F402A4">
        <w:rPr>
          <w:sz w:val="22"/>
          <w:szCs w:val="22"/>
        </w:rPr>
        <w:t>autor de</w:t>
      </w:r>
      <w:r>
        <w:rPr>
          <w:sz w:val="22"/>
          <w:szCs w:val="22"/>
        </w:rPr>
        <w:t>staca</w:t>
      </w:r>
      <w:r w:rsidRPr="00F402A4">
        <w:rPr>
          <w:sz w:val="22"/>
          <w:szCs w:val="22"/>
        </w:rPr>
        <w:t xml:space="preserve"> a importância da “dupla competência” dos docentes</w:t>
      </w:r>
      <w:r>
        <w:rPr>
          <w:sz w:val="22"/>
          <w:szCs w:val="22"/>
        </w:rPr>
        <w:t>:</w:t>
      </w:r>
      <w:r w:rsidRPr="00F402A4">
        <w:rPr>
          <w:sz w:val="22"/>
          <w:szCs w:val="22"/>
        </w:rPr>
        <w:t xml:space="preserve"> competência científica, como conhecedores especializados na área a ser ministrada e a competência pedagógica, como pessoas comprometidas com a formação e a aprendizagem de seus estudantes. </w:t>
      </w:r>
    </w:p>
    <w:p w14:paraId="517FEEC3" w14:textId="67CD0A09" w:rsidR="00F402A4" w:rsidRPr="00F402A4" w:rsidRDefault="00F402A4" w:rsidP="00F402A4">
      <w:pPr>
        <w:ind w:firstLine="708"/>
        <w:jc w:val="both"/>
        <w:rPr>
          <w:sz w:val="22"/>
          <w:szCs w:val="22"/>
        </w:rPr>
      </w:pPr>
      <w:r w:rsidRPr="00F402A4">
        <w:rPr>
          <w:sz w:val="22"/>
          <w:szCs w:val="22"/>
        </w:rPr>
        <w:t xml:space="preserve">Observando que a competência pedagógica é um dos problemas da educação atual, o autor </w:t>
      </w:r>
      <w:r>
        <w:rPr>
          <w:sz w:val="22"/>
          <w:szCs w:val="22"/>
        </w:rPr>
        <w:t>discorre</w:t>
      </w:r>
      <w:r w:rsidRPr="00F402A4">
        <w:rPr>
          <w:sz w:val="22"/>
          <w:szCs w:val="22"/>
        </w:rPr>
        <w:t xml:space="preserve"> que o grande desafio é transformar os docentes em profissionais da “aprendizagem”, como contraposição às práticas convencionais voltadas ao ensino. Essa nova perspectiva dá importância ao modo como os alunos absorvem e entendem o que lhes é ensinado, assim como e execução de ajustes aos conteúdos, às condições reais de tempo disponível, ao uso de novas tecnologias e a atenção especial ao número de alunos, permitindo adaptar melhor os processos de ensino às características e às condições dos sujeitos que serão formados. </w:t>
      </w:r>
    </w:p>
    <w:p w14:paraId="33F79D0F" w14:textId="4667EE71" w:rsidR="00F402A4" w:rsidRPr="00F402A4" w:rsidRDefault="00F402A4" w:rsidP="00F402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Neste capítulo o</w:t>
      </w:r>
      <w:r w:rsidRPr="00F402A4">
        <w:rPr>
          <w:sz w:val="22"/>
          <w:szCs w:val="22"/>
        </w:rPr>
        <w:t xml:space="preserve"> autor discorre também sobre uma série de dilemas que surgem nessa perspectiva de formação de docentes, deixando claro que não existe uma solução linear e única para resolução desse objetivo</w:t>
      </w:r>
      <w:r>
        <w:rPr>
          <w:sz w:val="22"/>
          <w:szCs w:val="22"/>
        </w:rPr>
        <w:t>,</w:t>
      </w:r>
      <w:r w:rsidRPr="00F402A4">
        <w:rPr>
          <w:sz w:val="22"/>
          <w:szCs w:val="22"/>
        </w:rPr>
        <w:t xml:space="preserve"> tais dilemas devem ser solucionados buscando um equilíbrio entre as alternativas disponíveis que mais se adaptem a cada instituição. </w:t>
      </w:r>
    </w:p>
    <w:p w14:paraId="3D5129B5" w14:textId="77777777" w:rsidR="00F402A4" w:rsidRPr="00F402A4" w:rsidRDefault="00F402A4" w:rsidP="00F402A4">
      <w:pPr>
        <w:jc w:val="both"/>
        <w:rPr>
          <w:sz w:val="22"/>
          <w:szCs w:val="22"/>
        </w:rPr>
      </w:pPr>
    </w:p>
    <w:p w14:paraId="6DB9D5C0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Citações:</w:t>
      </w:r>
    </w:p>
    <w:p w14:paraId="0D4A0E28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“O exercício da profissão docente requer uma sólida formação, não apenas com o conteúdo da disciplina, como também nos aspectos correspondentes a sua </w:t>
      </w:r>
      <w:proofErr w:type="spellStart"/>
      <w:r w:rsidRPr="00F402A4">
        <w:rPr>
          <w:sz w:val="22"/>
          <w:szCs w:val="22"/>
        </w:rPr>
        <w:t>sua</w:t>
      </w:r>
      <w:proofErr w:type="spellEnd"/>
      <w:r w:rsidRPr="00F402A4">
        <w:rPr>
          <w:sz w:val="22"/>
          <w:szCs w:val="22"/>
        </w:rPr>
        <w:t xml:space="preserve"> didática e ao encaminhamento das diversas variáveis que caracterizam a docência. ”</w:t>
      </w:r>
    </w:p>
    <w:p w14:paraId="6D0DBB1E" w14:textId="77777777" w:rsidR="00F402A4" w:rsidRPr="00F402A4" w:rsidRDefault="00F402A4" w:rsidP="00F402A4">
      <w:pPr>
        <w:rPr>
          <w:sz w:val="22"/>
          <w:szCs w:val="22"/>
        </w:rPr>
      </w:pPr>
    </w:p>
    <w:p w14:paraId="42D05CA5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“(...) são cada vez mais numerosos os que aceitam a necessidade da formação e perguntam-se que tipo de formação é necessária e que orientação na formação é mais adequada na universidade. </w:t>
      </w:r>
      <w:proofErr w:type="spellStart"/>
      <w:r w:rsidRPr="00F402A4">
        <w:rPr>
          <w:sz w:val="22"/>
          <w:szCs w:val="22"/>
        </w:rPr>
        <w:t>È</w:t>
      </w:r>
      <w:proofErr w:type="spellEnd"/>
      <w:r w:rsidRPr="00F402A4">
        <w:rPr>
          <w:sz w:val="22"/>
          <w:szCs w:val="22"/>
        </w:rPr>
        <w:t xml:space="preserve"> nesse sentido, então, que começam a aparecer os dilemas...</w:t>
      </w:r>
    </w:p>
    <w:p w14:paraId="4E7EEB66" w14:textId="77777777" w:rsidR="00F402A4" w:rsidRPr="00F402A4" w:rsidRDefault="00F402A4" w:rsidP="00F402A4">
      <w:pPr>
        <w:rPr>
          <w:sz w:val="22"/>
          <w:szCs w:val="22"/>
        </w:rPr>
      </w:pPr>
    </w:p>
    <w:p w14:paraId="76199080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 “As universidades devem propor a formação sob uma perspectiva que integre as duas dimensões: programas e atividades de formação que sejam interessantes por si mesmas e que, ao mesmo tempo, tenham repercussões benéfica para os professores em relação ao reconhecimento institucional, as quais não tem razão para se reduzir a incentivos materiais. “</w:t>
      </w:r>
    </w:p>
    <w:p w14:paraId="4DC986A5" w14:textId="77777777" w:rsidR="00F402A4" w:rsidRPr="00F402A4" w:rsidRDefault="00F402A4" w:rsidP="00F402A4">
      <w:pPr>
        <w:rPr>
          <w:sz w:val="22"/>
          <w:szCs w:val="22"/>
        </w:rPr>
      </w:pPr>
    </w:p>
    <w:p w14:paraId="473F436E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“A formação não deve ser orientada somente para o desenvolvimento e para a aquisição de novos conhecimentos e de novas habilidades para enfrentar e resolver com mais segurança os problemas da docência universitária, mas para possibilitar que quem a realiza ascenda na própria instituição. “</w:t>
      </w:r>
    </w:p>
    <w:p w14:paraId="610AA47B" w14:textId="77777777" w:rsidR="00F402A4" w:rsidRPr="00F402A4" w:rsidRDefault="00F402A4" w:rsidP="00F402A4">
      <w:pPr>
        <w:rPr>
          <w:sz w:val="22"/>
          <w:szCs w:val="22"/>
        </w:rPr>
      </w:pPr>
    </w:p>
    <w:p w14:paraId="7054F47F" w14:textId="0DAE1F78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 “Outra vez, a estrutura bipolar de um dilema obriga a busca de um</w:t>
      </w:r>
      <w:r>
        <w:rPr>
          <w:sz w:val="22"/>
          <w:szCs w:val="22"/>
        </w:rPr>
        <w:t xml:space="preserve"> equilíbrio entre as </w:t>
      </w:r>
      <w:proofErr w:type="gramStart"/>
      <w:r>
        <w:rPr>
          <w:sz w:val="22"/>
          <w:szCs w:val="22"/>
        </w:rPr>
        <w:t>posições.”</w:t>
      </w:r>
      <w:proofErr w:type="gramEnd"/>
    </w:p>
    <w:p w14:paraId="0634A8F9" w14:textId="77777777" w:rsidR="00F402A4" w:rsidRPr="00F402A4" w:rsidRDefault="00F402A4" w:rsidP="00F402A4">
      <w:pPr>
        <w:rPr>
          <w:sz w:val="22"/>
          <w:szCs w:val="22"/>
        </w:rPr>
      </w:pPr>
    </w:p>
    <w:p w14:paraId="2D42FD40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“</w:t>
      </w:r>
      <w:proofErr w:type="gramStart"/>
      <w:r w:rsidRPr="00F402A4">
        <w:rPr>
          <w:sz w:val="22"/>
          <w:szCs w:val="22"/>
        </w:rPr>
        <w:t>uma</w:t>
      </w:r>
      <w:proofErr w:type="gramEnd"/>
      <w:r w:rsidRPr="00F402A4">
        <w:rPr>
          <w:sz w:val="22"/>
          <w:szCs w:val="22"/>
        </w:rPr>
        <w:t xml:space="preserve"> boa formação sobre  os processos ensino-aprendizagem  servirá para elucidar e dar sentido à ação docente, contribuindo, assim, para sua melhora. ”</w:t>
      </w:r>
    </w:p>
    <w:p w14:paraId="7DFA3AD7" w14:textId="77777777" w:rsidR="00F402A4" w:rsidRPr="00F402A4" w:rsidRDefault="00F402A4" w:rsidP="00F402A4">
      <w:pPr>
        <w:rPr>
          <w:sz w:val="22"/>
          <w:szCs w:val="22"/>
        </w:rPr>
      </w:pPr>
    </w:p>
    <w:p w14:paraId="03B04BF6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 “O importante não é que se fale ou explique bem os conteúdos: o importante é como eles são entendidos, organizados e integrados em um conjunto significativo de conhecimentos e habilidades novas. ”</w:t>
      </w:r>
    </w:p>
    <w:p w14:paraId="1D5EC79A" w14:textId="77777777" w:rsidR="00F402A4" w:rsidRPr="00F402A4" w:rsidRDefault="00F402A4" w:rsidP="00F402A4">
      <w:pPr>
        <w:rPr>
          <w:sz w:val="22"/>
          <w:szCs w:val="22"/>
        </w:rPr>
      </w:pPr>
    </w:p>
    <w:p w14:paraId="581C315E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“(...) talvez seja proveitoso que as universidades continuem oferecendo oportunidades de formação a todos os seus professores, e é necessários que elas respondam adequadamente (em seus conteúdos e em sua organização) aos anseios dos professores mais experientes que são, sem dúvida, diferentes dos anseios dos professores </w:t>
      </w:r>
      <w:proofErr w:type="gramStart"/>
      <w:r w:rsidRPr="00F402A4">
        <w:rPr>
          <w:sz w:val="22"/>
          <w:szCs w:val="22"/>
        </w:rPr>
        <w:t>novatos.”</w:t>
      </w:r>
      <w:proofErr w:type="gramEnd"/>
    </w:p>
    <w:p w14:paraId="4C9EB57F" w14:textId="77777777" w:rsidR="00F402A4" w:rsidRPr="00F402A4" w:rsidRDefault="00F402A4" w:rsidP="00F402A4">
      <w:pPr>
        <w:rPr>
          <w:sz w:val="22"/>
          <w:szCs w:val="22"/>
        </w:rPr>
      </w:pPr>
    </w:p>
    <w:p w14:paraId="7FA59483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“Apesar do lugar-comum de que ensinar se aprende com a pratica, por si mesma, não resulta em aprendizagens claras.(...) Assim as novas modalidades de formação foram girando em torno dos eixos básicos: a ideia da reflexão da pratica, ou, o que resulta no mesmo, a revisão sistemática do próprio exercício profissional através de diversos sistemas de observação e avaliação e vinculação entre teoria e prática profissional real (...) modelos baseados na reflexão ou na revisão da própria prática apostou, em primeiro lugar, em iniciativas que tem grande identificação com estratégias de documentação e de análise dos registros obtidos (registrar aulas em vídeos, observar a aula de outros colegas, diários e </w:t>
      </w:r>
      <w:proofErr w:type="spellStart"/>
      <w:r w:rsidRPr="00F402A4">
        <w:rPr>
          <w:sz w:val="22"/>
          <w:szCs w:val="22"/>
        </w:rPr>
        <w:t>etc</w:t>
      </w:r>
      <w:proofErr w:type="spellEnd"/>
      <w:r w:rsidRPr="00F402A4">
        <w:rPr>
          <w:sz w:val="22"/>
          <w:szCs w:val="22"/>
        </w:rPr>
        <w:t>) “</w:t>
      </w:r>
    </w:p>
    <w:p w14:paraId="0E3F5B75" w14:textId="77777777" w:rsidR="00F402A4" w:rsidRPr="00F402A4" w:rsidRDefault="00F402A4" w:rsidP="00F402A4">
      <w:pPr>
        <w:rPr>
          <w:sz w:val="22"/>
          <w:szCs w:val="22"/>
        </w:rPr>
      </w:pPr>
    </w:p>
    <w:p w14:paraId="2FA44057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“O desafio da formação dos professores universitários (e dos professores em geral) é ter uma orientação distinta para sua função, é transformá-los em profissionais da “aprendizagem” (...)”</w:t>
      </w:r>
    </w:p>
    <w:p w14:paraId="4B452338" w14:textId="77777777" w:rsidR="00F402A4" w:rsidRPr="00F402A4" w:rsidRDefault="00F402A4" w:rsidP="00F402A4">
      <w:pPr>
        <w:rPr>
          <w:sz w:val="22"/>
          <w:szCs w:val="22"/>
        </w:rPr>
      </w:pPr>
    </w:p>
    <w:p w14:paraId="3664FE7A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“Por isso, fala-se tanto atualmente sobre a “dupla competência” dos bons professores: a competência científica, como conhecedores fidedignos do âmbito científico ensinado e a competência pedagógica, como pessoas comprometidas com a formação e a aprendizagem de seus estudantes”</w:t>
      </w:r>
    </w:p>
    <w:p w14:paraId="5B834DB5" w14:textId="77777777" w:rsidR="00F402A4" w:rsidRPr="00F402A4" w:rsidRDefault="00F402A4" w:rsidP="00F402A4">
      <w:pPr>
        <w:rPr>
          <w:sz w:val="22"/>
          <w:szCs w:val="22"/>
        </w:rPr>
      </w:pPr>
    </w:p>
    <w:p w14:paraId="57490C38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“Certamente, o maior desastre didático ocorrido no ensino (não apenas da universidade) foi tornar independente o processo de ensinar e aprender” </w:t>
      </w:r>
    </w:p>
    <w:p w14:paraId="286696AA" w14:textId="77777777" w:rsidR="00F402A4" w:rsidRPr="00F402A4" w:rsidRDefault="00F402A4" w:rsidP="00F402A4">
      <w:pPr>
        <w:rPr>
          <w:sz w:val="22"/>
          <w:szCs w:val="22"/>
        </w:rPr>
      </w:pPr>
    </w:p>
    <w:p w14:paraId="02AEB4D4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“Os parâmetros de um ensino baseado na aprendizagem ainda estão bastante dispersos, mas começa a se destacar, como contraposição às práticas convencionais, a importância das metodologias (que devem estar muito atentas ao modo como os alunos “entendem” o que lhes é ensinado), a necessidade de ajustar a amplitude dos conteúdos às condições reais de tempo disponível, a atenção imprescindível ao número de alunos como condição que nos permitirá adaptar melhor os processos de ensino às características e às condições dos sujeitos que formamos. “ (</w:t>
      </w:r>
      <w:proofErr w:type="spellStart"/>
      <w:r w:rsidRPr="00F402A4">
        <w:rPr>
          <w:sz w:val="22"/>
          <w:szCs w:val="22"/>
        </w:rPr>
        <w:t>pag</w:t>
      </w:r>
      <w:proofErr w:type="spellEnd"/>
      <w:r w:rsidRPr="00F402A4">
        <w:rPr>
          <w:sz w:val="22"/>
          <w:szCs w:val="22"/>
        </w:rPr>
        <w:t xml:space="preserve"> 171)</w:t>
      </w:r>
    </w:p>
    <w:p w14:paraId="035BDDEB" w14:textId="77777777" w:rsidR="00F402A4" w:rsidRPr="00F402A4" w:rsidRDefault="00F402A4" w:rsidP="00F402A4">
      <w:pPr>
        <w:rPr>
          <w:sz w:val="22"/>
          <w:szCs w:val="22"/>
        </w:rPr>
      </w:pPr>
    </w:p>
    <w:p w14:paraId="765D3CFD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“</w:t>
      </w:r>
      <w:proofErr w:type="gramStart"/>
      <w:r w:rsidRPr="00F402A4">
        <w:rPr>
          <w:sz w:val="22"/>
          <w:szCs w:val="22"/>
        </w:rPr>
        <w:t>são</w:t>
      </w:r>
      <w:proofErr w:type="gramEnd"/>
      <w:r w:rsidRPr="00F402A4">
        <w:rPr>
          <w:sz w:val="22"/>
          <w:szCs w:val="22"/>
        </w:rPr>
        <w:t xml:space="preserve"> necessários programas paralelos de formação dos professores, visando à criação e ao desenvolvimento de meios didáticos; à orientação das aprendizagens realizadas com esses meios (tecnológicos) ...”</w:t>
      </w:r>
    </w:p>
    <w:p w14:paraId="71F9A4B8" w14:textId="77777777" w:rsidR="00F402A4" w:rsidRPr="00F402A4" w:rsidRDefault="00F402A4" w:rsidP="00F402A4">
      <w:pPr>
        <w:rPr>
          <w:sz w:val="22"/>
          <w:szCs w:val="22"/>
        </w:rPr>
      </w:pPr>
    </w:p>
    <w:p w14:paraId="11310A47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>“</w:t>
      </w:r>
      <w:proofErr w:type="gramStart"/>
      <w:r w:rsidRPr="00F402A4">
        <w:rPr>
          <w:sz w:val="22"/>
          <w:szCs w:val="22"/>
        </w:rPr>
        <w:t>trata</w:t>
      </w:r>
      <w:proofErr w:type="gramEnd"/>
      <w:r w:rsidRPr="00F402A4">
        <w:rPr>
          <w:sz w:val="22"/>
          <w:szCs w:val="22"/>
        </w:rPr>
        <w:t>-se, por fim, de enriquecer os processos de aprendizagem unindo-os ao novo contexto tecnológico, e não de fazer a mesma coisa que se fazia antes com meios mais sofisticados. “</w:t>
      </w:r>
    </w:p>
    <w:p w14:paraId="2163FAC5" w14:textId="77777777" w:rsidR="00F402A4" w:rsidRPr="00F402A4" w:rsidRDefault="00F402A4" w:rsidP="00F402A4">
      <w:pPr>
        <w:rPr>
          <w:sz w:val="22"/>
          <w:szCs w:val="22"/>
        </w:rPr>
      </w:pPr>
    </w:p>
    <w:p w14:paraId="13981B28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Flexibilização dos cursos – “(...)houve avanços em cursos mistos (direito e administração e </w:t>
      </w:r>
      <w:proofErr w:type="spellStart"/>
      <w:r w:rsidRPr="00F402A4">
        <w:rPr>
          <w:sz w:val="22"/>
          <w:szCs w:val="22"/>
        </w:rPr>
        <w:t>dempresas</w:t>
      </w:r>
      <w:proofErr w:type="spellEnd"/>
      <w:r w:rsidRPr="00F402A4">
        <w:rPr>
          <w:sz w:val="22"/>
          <w:szCs w:val="22"/>
        </w:rPr>
        <w:t>, economia e letras, sociologia e direito, arquitetura e belas artes, educação física e educação, entre outros) o que gera, de igual modo, novas condições no desenvolvimento de disciplinas e na sua orientação para modelos de perfil profissional mais polivalente. “</w:t>
      </w:r>
    </w:p>
    <w:p w14:paraId="4D567ADD" w14:textId="77777777" w:rsidR="00F402A4" w:rsidRPr="00F402A4" w:rsidRDefault="00F402A4" w:rsidP="00F402A4">
      <w:pPr>
        <w:rPr>
          <w:sz w:val="22"/>
          <w:szCs w:val="22"/>
        </w:rPr>
      </w:pPr>
    </w:p>
    <w:p w14:paraId="09B44602" w14:textId="77777777" w:rsidR="00F402A4" w:rsidRPr="00F402A4" w:rsidRDefault="00F402A4" w:rsidP="00F402A4">
      <w:pPr>
        <w:rPr>
          <w:sz w:val="22"/>
          <w:szCs w:val="22"/>
        </w:rPr>
      </w:pPr>
      <w:r w:rsidRPr="00F402A4">
        <w:rPr>
          <w:sz w:val="22"/>
          <w:szCs w:val="22"/>
        </w:rPr>
        <w:t xml:space="preserve">“A qualidade está relacionada com a massificação da educação superior devido ao grande declínio na capacidade das para atender, de maneira digna, as expectativas e as demandas dos alunos (como são em maior número, são necessariamente mais heterogêneos e apresentam lacunas em relação aos conhecimentos prévios, à motivação para os estudos e aos recursos disponíveis). “ </w:t>
      </w:r>
    </w:p>
    <w:p w14:paraId="74AABFF0" w14:textId="77777777" w:rsidR="00F402A4" w:rsidRPr="00F402A4" w:rsidRDefault="00F402A4" w:rsidP="00F402A4">
      <w:pPr>
        <w:pStyle w:val="PargrafodaLista"/>
        <w:ind w:left="0"/>
        <w:outlineLvl w:val="1"/>
        <w:rPr>
          <w:b/>
          <w:sz w:val="22"/>
          <w:szCs w:val="22"/>
        </w:rPr>
      </w:pPr>
    </w:p>
    <w:p w14:paraId="3F908AD7" w14:textId="272B2B84" w:rsidR="000362C9" w:rsidRPr="00F402A4" w:rsidRDefault="000362C9" w:rsidP="00F402A4">
      <w:pPr>
        <w:pStyle w:val="PargrafodaLista"/>
        <w:ind w:left="0"/>
        <w:outlineLvl w:val="1"/>
        <w:rPr>
          <w:b/>
          <w:i/>
          <w:sz w:val="22"/>
          <w:szCs w:val="22"/>
        </w:rPr>
      </w:pPr>
    </w:p>
    <w:p w14:paraId="3E313B2C" w14:textId="77777777" w:rsidR="000362C9" w:rsidRPr="00F402A4" w:rsidRDefault="000362C9" w:rsidP="00F402A4">
      <w:pPr>
        <w:pStyle w:val="PargrafodaLista"/>
        <w:ind w:left="0"/>
        <w:outlineLvl w:val="1"/>
        <w:rPr>
          <w:b/>
          <w:i/>
          <w:sz w:val="22"/>
          <w:szCs w:val="22"/>
        </w:rPr>
      </w:pPr>
    </w:p>
    <w:p w14:paraId="5579E568" w14:textId="77777777" w:rsidR="00B3781B" w:rsidRPr="00F402A4" w:rsidRDefault="00B3781B" w:rsidP="00F402A4">
      <w:pPr>
        <w:rPr>
          <w:sz w:val="22"/>
          <w:szCs w:val="22"/>
          <w:lang w:eastAsia="x-none"/>
        </w:rPr>
      </w:pPr>
    </w:p>
    <w:sectPr w:rsidR="00B3781B" w:rsidRPr="00F402A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0A40" w14:textId="77777777" w:rsidR="00747C05" w:rsidRDefault="00747C05" w:rsidP="00B94F93">
      <w:r>
        <w:separator/>
      </w:r>
    </w:p>
  </w:endnote>
  <w:endnote w:type="continuationSeparator" w:id="0">
    <w:p w14:paraId="12DB9E19" w14:textId="77777777" w:rsidR="00747C05" w:rsidRDefault="00747C05" w:rsidP="00B9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13809"/>
      <w:docPartObj>
        <w:docPartGallery w:val="Page Numbers (Bottom of Page)"/>
        <w:docPartUnique/>
      </w:docPartObj>
    </w:sdtPr>
    <w:sdtContent>
      <w:p w14:paraId="3497DFAB" w14:textId="1105F5CB" w:rsidR="00F402A4" w:rsidRDefault="00F402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BD">
          <w:rPr>
            <w:noProof/>
          </w:rPr>
          <w:t>7</w:t>
        </w:r>
        <w:r>
          <w:fldChar w:fldCharType="end"/>
        </w:r>
      </w:p>
    </w:sdtContent>
  </w:sdt>
  <w:p w14:paraId="6168A531" w14:textId="77777777" w:rsidR="00F402A4" w:rsidRDefault="00F402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DBAF" w14:textId="77777777" w:rsidR="00747C05" w:rsidRDefault="00747C05" w:rsidP="00B94F93">
      <w:r>
        <w:separator/>
      </w:r>
    </w:p>
  </w:footnote>
  <w:footnote w:type="continuationSeparator" w:id="0">
    <w:p w14:paraId="5F51AB26" w14:textId="77777777" w:rsidR="00747C05" w:rsidRDefault="00747C05" w:rsidP="00B9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2BF"/>
    <w:multiLevelType w:val="hybridMultilevel"/>
    <w:tmpl w:val="EBD00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55FC4"/>
    <w:multiLevelType w:val="hybridMultilevel"/>
    <w:tmpl w:val="4A5ADC96"/>
    <w:lvl w:ilvl="0" w:tplc="0416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ECB04BD"/>
    <w:multiLevelType w:val="multilevel"/>
    <w:tmpl w:val="0C8A73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51476542"/>
    <w:multiLevelType w:val="hybridMultilevel"/>
    <w:tmpl w:val="E5C65A0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D447BF"/>
    <w:multiLevelType w:val="hybridMultilevel"/>
    <w:tmpl w:val="C4128AB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5BE5"/>
    <w:multiLevelType w:val="multilevel"/>
    <w:tmpl w:val="9CD63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42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6" w15:restartNumberingAfterBreak="0">
    <w:nsid w:val="7A43401A"/>
    <w:multiLevelType w:val="hybridMultilevel"/>
    <w:tmpl w:val="EC80950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C"/>
    <w:rsid w:val="000362C9"/>
    <w:rsid w:val="000557D0"/>
    <w:rsid w:val="000766E1"/>
    <w:rsid w:val="000A2D01"/>
    <w:rsid w:val="000C2E64"/>
    <w:rsid w:val="000D52FF"/>
    <w:rsid w:val="00147BA5"/>
    <w:rsid w:val="001509C7"/>
    <w:rsid w:val="00161380"/>
    <w:rsid w:val="00163865"/>
    <w:rsid w:val="00176C4D"/>
    <w:rsid w:val="001845EB"/>
    <w:rsid w:val="00195BB7"/>
    <w:rsid w:val="001B7B3C"/>
    <w:rsid w:val="001E32A6"/>
    <w:rsid w:val="00212F09"/>
    <w:rsid w:val="002241AB"/>
    <w:rsid w:val="00255267"/>
    <w:rsid w:val="00266C03"/>
    <w:rsid w:val="002C0633"/>
    <w:rsid w:val="002D611B"/>
    <w:rsid w:val="002F47B0"/>
    <w:rsid w:val="00321363"/>
    <w:rsid w:val="0034190B"/>
    <w:rsid w:val="00347E57"/>
    <w:rsid w:val="003731FB"/>
    <w:rsid w:val="003760D5"/>
    <w:rsid w:val="003A4ED0"/>
    <w:rsid w:val="003B5151"/>
    <w:rsid w:val="00417983"/>
    <w:rsid w:val="00426FAB"/>
    <w:rsid w:val="004646AA"/>
    <w:rsid w:val="004744BD"/>
    <w:rsid w:val="004F21CC"/>
    <w:rsid w:val="005079EC"/>
    <w:rsid w:val="0052124D"/>
    <w:rsid w:val="005656C5"/>
    <w:rsid w:val="005A39AB"/>
    <w:rsid w:val="00613674"/>
    <w:rsid w:val="00614AB8"/>
    <w:rsid w:val="0064064C"/>
    <w:rsid w:val="006901D7"/>
    <w:rsid w:val="0074307B"/>
    <w:rsid w:val="00747C05"/>
    <w:rsid w:val="0076632C"/>
    <w:rsid w:val="00780A3B"/>
    <w:rsid w:val="008041CB"/>
    <w:rsid w:val="00811266"/>
    <w:rsid w:val="00822D74"/>
    <w:rsid w:val="00890249"/>
    <w:rsid w:val="008969A6"/>
    <w:rsid w:val="008C1E79"/>
    <w:rsid w:val="008D38E9"/>
    <w:rsid w:val="008E5DCF"/>
    <w:rsid w:val="00900C9E"/>
    <w:rsid w:val="00915D0D"/>
    <w:rsid w:val="00944725"/>
    <w:rsid w:val="009605E0"/>
    <w:rsid w:val="00974D98"/>
    <w:rsid w:val="00985ECB"/>
    <w:rsid w:val="009D6064"/>
    <w:rsid w:val="009F4B85"/>
    <w:rsid w:val="00A130F2"/>
    <w:rsid w:val="00A41494"/>
    <w:rsid w:val="00AB00F6"/>
    <w:rsid w:val="00AF3ED2"/>
    <w:rsid w:val="00B10C19"/>
    <w:rsid w:val="00B3781B"/>
    <w:rsid w:val="00B94539"/>
    <w:rsid w:val="00B94F93"/>
    <w:rsid w:val="00BC4C4A"/>
    <w:rsid w:val="00BD3358"/>
    <w:rsid w:val="00C0496C"/>
    <w:rsid w:val="00C12C21"/>
    <w:rsid w:val="00C5300C"/>
    <w:rsid w:val="00C822D6"/>
    <w:rsid w:val="00C87521"/>
    <w:rsid w:val="00C9225F"/>
    <w:rsid w:val="00C977D4"/>
    <w:rsid w:val="00CA50CF"/>
    <w:rsid w:val="00D015D7"/>
    <w:rsid w:val="00D5658C"/>
    <w:rsid w:val="00D719A0"/>
    <w:rsid w:val="00D86768"/>
    <w:rsid w:val="00D95E86"/>
    <w:rsid w:val="00DC1D57"/>
    <w:rsid w:val="00DE1D01"/>
    <w:rsid w:val="00E256DC"/>
    <w:rsid w:val="00E83B60"/>
    <w:rsid w:val="00E91F49"/>
    <w:rsid w:val="00E956CC"/>
    <w:rsid w:val="00EA33F8"/>
    <w:rsid w:val="00EE1D8C"/>
    <w:rsid w:val="00F24581"/>
    <w:rsid w:val="00F37393"/>
    <w:rsid w:val="00F402A4"/>
    <w:rsid w:val="00F42937"/>
    <w:rsid w:val="00F56178"/>
    <w:rsid w:val="00F663B2"/>
    <w:rsid w:val="00F91020"/>
    <w:rsid w:val="00FB664D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8D51"/>
  <w15:chartTrackingRefBased/>
  <w15:docId w15:val="{361C9D0E-2BE8-4DC4-A657-9F40F0E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79EC"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4F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4F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79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4F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F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4F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F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4F9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B94F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Legenda">
    <w:name w:val="caption"/>
    <w:basedOn w:val="Normal"/>
    <w:next w:val="Normal"/>
    <w:unhideWhenUsed/>
    <w:qFormat/>
    <w:rsid w:val="00B94F93"/>
    <w:rPr>
      <w:b/>
      <w:bCs/>
    </w:rPr>
  </w:style>
  <w:style w:type="paragraph" w:customStyle="1" w:styleId="Cristexto">
    <w:name w:val="Cris texto"/>
    <w:basedOn w:val="Normal"/>
    <w:autoRedefine/>
    <w:qFormat/>
    <w:rsid w:val="00B94F93"/>
    <w:pPr>
      <w:autoSpaceDE w:val="0"/>
      <w:autoSpaceDN w:val="0"/>
      <w:adjustRightInd w:val="0"/>
      <w:spacing w:line="360" w:lineRule="auto"/>
      <w:ind w:firstLine="241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5656C5"/>
  </w:style>
  <w:style w:type="character" w:styleId="nfase">
    <w:name w:val="Emphasis"/>
    <w:uiPriority w:val="20"/>
    <w:qFormat/>
    <w:rsid w:val="005656C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EE1D8C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66C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13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138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13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13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13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3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38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C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4744B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44BD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44BD"/>
    <w:pPr>
      <w:tabs>
        <w:tab w:val="left" w:pos="880"/>
        <w:tab w:val="right" w:leader="dot" w:pos="8494"/>
      </w:tabs>
      <w:spacing w:after="100"/>
      <w:ind w:left="200"/>
    </w:pPr>
    <w:rPr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74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7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85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31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75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40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D8B7-8C2F-452C-8AD3-92677D6A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5755</Words>
  <Characters>31077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</dc:creator>
  <cp:keywords/>
  <dc:description/>
  <cp:lastModifiedBy>Gláucia Regina Santos</cp:lastModifiedBy>
  <cp:revision>4</cp:revision>
  <cp:lastPrinted>2018-06-21T17:44:00Z</cp:lastPrinted>
  <dcterms:created xsi:type="dcterms:W3CDTF">2019-04-24T22:13:00Z</dcterms:created>
  <dcterms:modified xsi:type="dcterms:W3CDTF">2019-04-24T22:47:00Z</dcterms:modified>
</cp:coreProperties>
</file>