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7B" w:rsidRPr="00A16DE8" w:rsidRDefault="00A1427B" w:rsidP="0079661D">
      <w:pPr>
        <w:pStyle w:val="NormalWeb"/>
        <w:shd w:val="clear" w:color="auto" w:fill="FFFFFF"/>
        <w:spacing w:before="0" w:beforeAutospacing="0" w:after="0" w:afterAutospacing="0"/>
        <w:jc w:val="center"/>
        <w:rPr>
          <w:rFonts w:ascii="Times" w:hAnsi="Times"/>
          <w:b/>
          <w:bCs/>
          <w:smallCaps/>
          <w:color w:val="000000"/>
        </w:rPr>
      </w:pPr>
      <w:r w:rsidRPr="001B2305">
        <w:rPr>
          <w:b/>
          <w:bCs/>
          <w:smallCaps/>
          <w:color w:val="000000"/>
        </w:rPr>
        <w:t>Fun</w:t>
      </w:r>
      <w:r w:rsidRPr="00A16DE8">
        <w:rPr>
          <w:rFonts w:ascii="Times" w:hAnsi="Times"/>
          <w:b/>
          <w:bCs/>
          <w:smallCaps/>
          <w:color w:val="000000"/>
        </w:rPr>
        <w:t>damentos de Direito societário (dco 217)</w:t>
      </w:r>
    </w:p>
    <w:p w:rsidR="0079661D" w:rsidRPr="00A16DE8" w:rsidRDefault="0079661D" w:rsidP="0079661D">
      <w:pPr>
        <w:pStyle w:val="NormalWeb"/>
        <w:shd w:val="clear" w:color="auto" w:fill="FFFFFF"/>
        <w:spacing w:before="0" w:beforeAutospacing="0" w:after="0" w:afterAutospacing="0"/>
        <w:jc w:val="center"/>
        <w:rPr>
          <w:rFonts w:ascii="Times" w:hAnsi="Times"/>
          <w:b/>
          <w:bCs/>
          <w:smallCaps/>
          <w:color w:val="000000"/>
        </w:rPr>
      </w:pPr>
      <w:r w:rsidRPr="00A16DE8">
        <w:rPr>
          <w:rFonts w:ascii="Times" w:hAnsi="Times"/>
          <w:b/>
          <w:bCs/>
          <w:smallCaps/>
          <w:color w:val="000000"/>
        </w:rPr>
        <w:t xml:space="preserve">Prof. Eduardo </w:t>
      </w:r>
      <w:proofErr w:type="spellStart"/>
      <w:r w:rsidRPr="00A16DE8">
        <w:rPr>
          <w:rFonts w:ascii="Times" w:hAnsi="Times"/>
          <w:b/>
          <w:bCs/>
          <w:smallCaps/>
          <w:color w:val="000000"/>
        </w:rPr>
        <w:t>Secchi</w:t>
      </w:r>
      <w:proofErr w:type="spellEnd"/>
      <w:r w:rsidRPr="00A16DE8">
        <w:rPr>
          <w:rFonts w:ascii="Times" w:hAnsi="Times"/>
          <w:b/>
          <w:bCs/>
          <w:smallCaps/>
          <w:color w:val="000000"/>
        </w:rPr>
        <w:t xml:space="preserve"> Munhoz</w:t>
      </w:r>
    </w:p>
    <w:p w:rsidR="0079661D" w:rsidRPr="00A16DE8" w:rsidRDefault="0079661D" w:rsidP="0079661D">
      <w:pPr>
        <w:pStyle w:val="NormalWeb"/>
        <w:shd w:val="clear" w:color="auto" w:fill="FFFFFF"/>
        <w:spacing w:before="0" w:beforeAutospacing="0" w:after="0" w:afterAutospacing="0"/>
        <w:jc w:val="center"/>
        <w:rPr>
          <w:rFonts w:ascii="Times" w:hAnsi="Times"/>
          <w:b/>
          <w:bCs/>
          <w:smallCaps/>
          <w:color w:val="000000"/>
        </w:rPr>
      </w:pPr>
    </w:p>
    <w:p w:rsidR="0079661D" w:rsidRPr="00A16DE8" w:rsidRDefault="0079661D" w:rsidP="0079661D">
      <w:pPr>
        <w:pStyle w:val="NormalWeb"/>
        <w:shd w:val="clear" w:color="auto" w:fill="FFFFFF"/>
        <w:spacing w:before="0" w:beforeAutospacing="0" w:after="0" w:afterAutospacing="0"/>
        <w:jc w:val="center"/>
        <w:rPr>
          <w:rFonts w:ascii="Times" w:hAnsi="Times"/>
          <w:b/>
          <w:bCs/>
          <w:smallCaps/>
          <w:color w:val="000000"/>
        </w:rPr>
      </w:pPr>
      <w:r w:rsidRPr="00A16DE8">
        <w:rPr>
          <w:rFonts w:ascii="Times" w:hAnsi="Times"/>
          <w:b/>
          <w:bCs/>
          <w:smallCaps/>
          <w:color w:val="000000"/>
        </w:rPr>
        <w:t>Seminário 3: Sociedade Simples</w:t>
      </w:r>
    </w:p>
    <w:p w:rsidR="0079661D" w:rsidRPr="00A16DE8" w:rsidRDefault="0079661D" w:rsidP="0079661D">
      <w:pPr>
        <w:pStyle w:val="NormalWeb"/>
        <w:shd w:val="clear" w:color="auto" w:fill="FFFFFF"/>
        <w:spacing w:before="0" w:beforeAutospacing="0" w:after="0" w:afterAutospacing="0"/>
        <w:rPr>
          <w:rFonts w:ascii="Times" w:hAnsi="Times"/>
          <w:b/>
          <w:bCs/>
          <w:color w:val="000000"/>
        </w:rPr>
      </w:pPr>
    </w:p>
    <w:p w:rsidR="0079661D" w:rsidRPr="00A16DE8" w:rsidRDefault="0079661D" w:rsidP="0079661D">
      <w:pPr>
        <w:pStyle w:val="NormalWeb"/>
        <w:shd w:val="clear" w:color="auto" w:fill="FFFFFF"/>
        <w:spacing w:before="0" w:beforeAutospacing="0" w:after="0" w:afterAutospacing="0"/>
        <w:jc w:val="both"/>
        <w:rPr>
          <w:rFonts w:ascii="Times" w:hAnsi="Times"/>
          <w:bCs/>
          <w:color w:val="000000"/>
        </w:rPr>
      </w:pPr>
      <w:r w:rsidRPr="00A16DE8">
        <w:rPr>
          <w:rFonts w:ascii="Times" w:hAnsi="Times"/>
          <w:b/>
          <w:bCs/>
          <w:color w:val="000000"/>
        </w:rPr>
        <w:t>Data de entrega</w:t>
      </w:r>
      <w:r w:rsidR="003D6CD8">
        <w:rPr>
          <w:rFonts w:ascii="Times" w:hAnsi="Times"/>
          <w:bCs/>
          <w:color w:val="000000"/>
        </w:rPr>
        <w:t>: 27.08.2015</w:t>
      </w:r>
      <w:r w:rsidRPr="00A16DE8">
        <w:rPr>
          <w:rFonts w:ascii="Times" w:hAnsi="Times"/>
          <w:bCs/>
          <w:color w:val="000000"/>
        </w:rPr>
        <w:t>.</w:t>
      </w:r>
    </w:p>
    <w:p w:rsidR="0079661D" w:rsidRPr="00A16DE8" w:rsidRDefault="0079661D" w:rsidP="0079661D">
      <w:pPr>
        <w:pStyle w:val="NormalWeb"/>
        <w:shd w:val="clear" w:color="auto" w:fill="FFFFFF"/>
        <w:spacing w:before="0" w:beforeAutospacing="0" w:after="0" w:afterAutospacing="0"/>
        <w:jc w:val="both"/>
        <w:rPr>
          <w:rFonts w:ascii="Times" w:hAnsi="Times"/>
          <w:bCs/>
          <w:color w:val="000000"/>
        </w:rPr>
      </w:pPr>
    </w:p>
    <w:p w:rsidR="0079661D" w:rsidRPr="00A16DE8" w:rsidRDefault="0079661D" w:rsidP="0079661D">
      <w:pPr>
        <w:pStyle w:val="NormalWeb"/>
        <w:shd w:val="clear" w:color="auto" w:fill="FFFFFF"/>
        <w:spacing w:before="0" w:beforeAutospacing="0" w:after="0" w:afterAutospacing="0"/>
        <w:jc w:val="both"/>
        <w:rPr>
          <w:rFonts w:ascii="Times" w:hAnsi="Times"/>
          <w:bCs/>
          <w:color w:val="000000"/>
        </w:rPr>
      </w:pPr>
      <w:r w:rsidRPr="00A16DE8">
        <w:rPr>
          <w:rFonts w:ascii="Times" w:hAnsi="Times"/>
          <w:b/>
          <w:bCs/>
          <w:color w:val="000000"/>
        </w:rPr>
        <w:t>Forma</w:t>
      </w:r>
      <w:r w:rsidRPr="00A16DE8">
        <w:rPr>
          <w:rFonts w:ascii="Times" w:hAnsi="Times"/>
          <w:bCs/>
          <w:color w:val="000000"/>
        </w:rPr>
        <w:t>: respostas impressas, pois os seminários serão manualmente corrigidos (não serão admitidas respostas manuscritas nem respostas enviadas por e-mail). Não é necessário copiar as questões na folha de resposta.</w:t>
      </w:r>
    </w:p>
    <w:p w:rsidR="0079661D" w:rsidRPr="00A16DE8" w:rsidRDefault="0079661D" w:rsidP="0079661D">
      <w:pPr>
        <w:pStyle w:val="NormalWeb"/>
        <w:shd w:val="clear" w:color="auto" w:fill="FFFFFF"/>
        <w:spacing w:before="0" w:beforeAutospacing="0" w:after="0" w:afterAutospacing="0"/>
        <w:jc w:val="both"/>
        <w:rPr>
          <w:rFonts w:ascii="Times" w:hAnsi="Times"/>
          <w:bCs/>
          <w:color w:val="000000"/>
        </w:rPr>
      </w:pPr>
    </w:p>
    <w:p w:rsidR="0079661D" w:rsidRPr="00A16DE8" w:rsidRDefault="0079661D" w:rsidP="0079661D">
      <w:pPr>
        <w:pStyle w:val="NormalWeb"/>
        <w:shd w:val="clear" w:color="auto" w:fill="FFFFFF"/>
        <w:spacing w:before="0" w:beforeAutospacing="0" w:after="0" w:afterAutospacing="0"/>
        <w:jc w:val="both"/>
        <w:rPr>
          <w:rFonts w:ascii="Times" w:hAnsi="Times"/>
          <w:bCs/>
          <w:color w:val="000000"/>
        </w:rPr>
      </w:pPr>
      <w:r w:rsidRPr="00A16DE8">
        <w:rPr>
          <w:rFonts w:ascii="Times" w:hAnsi="Times"/>
          <w:b/>
          <w:bCs/>
          <w:color w:val="000000"/>
        </w:rPr>
        <w:t>Atraso</w:t>
      </w:r>
      <w:r w:rsidRPr="00A16DE8">
        <w:rPr>
          <w:rFonts w:ascii="Times" w:hAnsi="Times"/>
          <w:bCs/>
          <w:color w:val="000000"/>
        </w:rPr>
        <w:t xml:space="preserve">: caso o seminário não seja entregue tempestivamente, o </w:t>
      </w:r>
      <w:r w:rsidR="003D6CD8">
        <w:rPr>
          <w:rFonts w:ascii="Times" w:hAnsi="Times"/>
          <w:bCs/>
          <w:color w:val="000000"/>
        </w:rPr>
        <w:t>grupo</w:t>
      </w:r>
      <w:r w:rsidRPr="00A16DE8">
        <w:rPr>
          <w:rFonts w:ascii="Times" w:hAnsi="Times"/>
          <w:bCs/>
          <w:color w:val="000000"/>
        </w:rPr>
        <w:t xml:space="preserve"> terá uma nova oportunidade para entrega na aula seguinte. Nesta hipótese, o trabalho será avaliado normalmente, mas a nota será reduzida em 50%, tendo em vista que o caso já terá sido discutido em aula.</w:t>
      </w:r>
    </w:p>
    <w:p w:rsidR="0079661D" w:rsidRPr="00A16DE8" w:rsidRDefault="0079661D" w:rsidP="0079661D">
      <w:pPr>
        <w:pStyle w:val="NormalWeb"/>
        <w:shd w:val="clear" w:color="auto" w:fill="FFFFFF"/>
        <w:spacing w:before="0" w:beforeAutospacing="0" w:after="0" w:afterAutospacing="0"/>
        <w:jc w:val="both"/>
        <w:rPr>
          <w:rFonts w:ascii="Times" w:hAnsi="Times"/>
          <w:bCs/>
          <w:color w:val="000000"/>
        </w:rPr>
      </w:pPr>
    </w:p>
    <w:p w:rsidR="0079661D" w:rsidRPr="00A16DE8" w:rsidRDefault="0079661D" w:rsidP="0079661D">
      <w:pPr>
        <w:pStyle w:val="NormalWeb"/>
        <w:shd w:val="clear" w:color="auto" w:fill="FFFFFF"/>
        <w:spacing w:before="0" w:beforeAutospacing="0" w:after="0" w:afterAutospacing="0"/>
        <w:jc w:val="both"/>
        <w:rPr>
          <w:rFonts w:ascii="Times" w:hAnsi="Times"/>
          <w:bCs/>
          <w:color w:val="000000"/>
        </w:rPr>
      </w:pPr>
      <w:r w:rsidRPr="00A16DE8">
        <w:rPr>
          <w:rFonts w:ascii="Times" w:hAnsi="Times"/>
          <w:b/>
          <w:bCs/>
          <w:color w:val="000000"/>
        </w:rPr>
        <w:t>Caso</w:t>
      </w:r>
    </w:p>
    <w:p w:rsidR="0079661D" w:rsidRPr="00A16DE8" w:rsidRDefault="0079661D" w:rsidP="0079661D">
      <w:pPr>
        <w:pStyle w:val="NormalWeb"/>
        <w:shd w:val="clear" w:color="auto" w:fill="FFFFFF"/>
        <w:spacing w:before="0" w:beforeAutospacing="0" w:after="0" w:afterAutospacing="0"/>
        <w:jc w:val="both"/>
        <w:rPr>
          <w:rFonts w:ascii="Times" w:hAnsi="Times"/>
          <w:bCs/>
          <w:color w:val="000000"/>
        </w:rPr>
      </w:pPr>
    </w:p>
    <w:p w:rsidR="0079661D" w:rsidRDefault="0079661D" w:rsidP="0079661D">
      <w:pPr>
        <w:pStyle w:val="NormalWeb"/>
        <w:shd w:val="clear" w:color="auto" w:fill="FFFFFF"/>
        <w:spacing w:before="0" w:beforeAutospacing="0" w:after="0" w:afterAutospacing="0"/>
        <w:jc w:val="both"/>
        <w:rPr>
          <w:rFonts w:ascii="Times" w:hAnsi="Times"/>
          <w:bCs/>
          <w:color w:val="000000"/>
        </w:rPr>
      </w:pPr>
      <w:r>
        <w:rPr>
          <w:rFonts w:ascii="Times" w:hAnsi="Times"/>
          <w:bCs/>
          <w:color w:val="000000"/>
        </w:rPr>
        <w:t xml:space="preserve">Paulo, </w:t>
      </w:r>
      <w:r w:rsidR="001B1A4B">
        <w:rPr>
          <w:rFonts w:ascii="Times" w:hAnsi="Times"/>
          <w:bCs/>
          <w:color w:val="000000"/>
        </w:rPr>
        <w:t>André e Bruno</w:t>
      </w:r>
      <w:r>
        <w:rPr>
          <w:rFonts w:ascii="Times" w:hAnsi="Times"/>
          <w:bCs/>
          <w:color w:val="000000"/>
        </w:rPr>
        <w:t xml:space="preserve"> são colegas formados na Faculdade de Medicina e decidem constituir a </w:t>
      </w:r>
      <w:proofErr w:type="spellStart"/>
      <w:r>
        <w:rPr>
          <w:rFonts w:ascii="Times" w:hAnsi="Times"/>
          <w:bCs/>
          <w:color w:val="000000"/>
        </w:rPr>
        <w:t>Medcenter</w:t>
      </w:r>
      <w:proofErr w:type="spellEnd"/>
      <w:r>
        <w:rPr>
          <w:rFonts w:ascii="Times" w:hAnsi="Times"/>
          <w:bCs/>
          <w:color w:val="000000"/>
        </w:rPr>
        <w:t xml:space="preserve"> Diagnósticos e Tratamento S/S Ltda.</w:t>
      </w:r>
      <w:r w:rsidR="00743417">
        <w:rPr>
          <w:rFonts w:ascii="Times" w:hAnsi="Times"/>
          <w:bCs/>
          <w:color w:val="000000"/>
        </w:rPr>
        <w:t xml:space="preserve"> (sociedade simples organizada sob a forma de sociedade limitada)</w:t>
      </w:r>
      <w:r>
        <w:rPr>
          <w:rFonts w:ascii="Times" w:hAnsi="Times"/>
          <w:bCs/>
          <w:color w:val="000000"/>
        </w:rPr>
        <w:t xml:space="preserve">, para prestação de serviços </w:t>
      </w:r>
      <w:r w:rsidR="00A252FD">
        <w:rPr>
          <w:rFonts w:ascii="Times" w:hAnsi="Times"/>
          <w:bCs/>
          <w:color w:val="000000"/>
        </w:rPr>
        <w:t>como oncologistas</w:t>
      </w:r>
      <w:r w:rsidR="00743417">
        <w:rPr>
          <w:rFonts w:ascii="Times" w:hAnsi="Times"/>
          <w:bCs/>
          <w:color w:val="000000"/>
        </w:rPr>
        <w:t>. Cada um dos três é titular de 1/3 das cotas sociais</w:t>
      </w:r>
      <w:r>
        <w:rPr>
          <w:rFonts w:ascii="Times" w:hAnsi="Times"/>
          <w:bCs/>
          <w:color w:val="000000"/>
        </w:rPr>
        <w:t xml:space="preserve">. </w:t>
      </w:r>
    </w:p>
    <w:p w:rsidR="0079661D" w:rsidRDefault="0079661D" w:rsidP="0079661D">
      <w:pPr>
        <w:pStyle w:val="NormalWeb"/>
        <w:shd w:val="clear" w:color="auto" w:fill="FFFFFF"/>
        <w:spacing w:before="0" w:beforeAutospacing="0" w:after="0" w:afterAutospacing="0"/>
        <w:jc w:val="both"/>
        <w:rPr>
          <w:rFonts w:ascii="Times" w:hAnsi="Times"/>
          <w:bCs/>
          <w:color w:val="000000"/>
        </w:rPr>
      </w:pPr>
    </w:p>
    <w:p w:rsidR="0079661D" w:rsidRDefault="0079661D" w:rsidP="0079661D">
      <w:pPr>
        <w:pStyle w:val="NormalWeb"/>
        <w:shd w:val="clear" w:color="auto" w:fill="FFFFFF"/>
        <w:spacing w:before="0" w:beforeAutospacing="0" w:after="0" w:afterAutospacing="0"/>
        <w:jc w:val="both"/>
        <w:rPr>
          <w:rFonts w:ascii="Times" w:hAnsi="Times"/>
          <w:bCs/>
          <w:color w:val="000000"/>
        </w:rPr>
      </w:pPr>
      <w:r>
        <w:rPr>
          <w:rFonts w:ascii="Times" w:hAnsi="Times"/>
          <w:bCs/>
          <w:color w:val="000000"/>
        </w:rPr>
        <w:t xml:space="preserve">Concluídas as formalidades de registro do contrato social perante o cartório de registro de pessoas jurídicas, eles alugam um andar em um pequeno prédio comercial para estabelecer sua clínica. Apenas os três sócios prestam, pessoalmente, todos os serviços médicos na clínica, auxiliados por uma secretária. </w:t>
      </w:r>
    </w:p>
    <w:p w:rsidR="0079661D" w:rsidRDefault="0079661D" w:rsidP="0079661D">
      <w:pPr>
        <w:pStyle w:val="NormalWeb"/>
        <w:shd w:val="clear" w:color="auto" w:fill="FFFFFF"/>
        <w:spacing w:before="0" w:beforeAutospacing="0" w:after="0" w:afterAutospacing="0"/>
        <w:jc w:val="both"/>
        <w:rPr>
          <w:rFonts w:ascii="Times" w:hAnsi="Times"/>
          <w:bCs/>
          <w:color w:val="000000"/>
        </w:rPr>
      </w:pPr>
    </w:p>
    <w:p w:rsidR="0079661D" w:rsidRDefault="00743417" w:rsidP="0079661D">
      <w:pPr>
        <w:pStyle w:val="NormalWeb"/>
        <w:shd w:val="clear" w:color="auto" w:fill="FFFFFF"/>
        <w:spacing w:before="0" w:beforeAutospacing="0" w:after="0" w:afterAutospacing="0"/>
        <w:jc w:val="both"/>
        <w:rPr>
          <w:rFonts w:ascii="Times" w:hAnsi="Times"/>
          <w:bCs/>
          <w:color w:val="000000"/>
        </w:rPr>
      </w:pPr>
      <w:r>
        <w:rPr>
          <w:rFonts w:ascii="Times" w:hAnsi="Times"/>
          <w:bCs/>
          <w:color w:val="000000"/>
        </w:rPr>
        <w:t xml:space="preserve">Com o passar do tempo, os três médicos são muito bem sucedidos. </w:t>
      </w:r>
      <w:r w:rsidR="00A252FD">
        <w:rPr>
          <w:rFonts w:ascii="Times" w:hAnsi="Times"/>
          <w:bCs/>
          <w:color w:val="000000"/>
        </w:rPr>
        <w:t xml:space="preserve">Com </w:t>
      </w:r>
      <w:r w:rsidR="00926F49">
        <w:rPr>
          <w:rFonts w:ascii="Times" w:hAnsi="Times"/>
          <w:bCs/>
          <w:color w:val="000000"/>
        </w:rPr>
        <w:t>10</w:t>
      </w:r>
      <w:r w:rsidR="00A252FD">
        <w:rPr>
          <w:rFonts w:ascii="Times" w:hAnsi="Times"/>
          <w:bCs/>
          <w:color w:val="000000"/>
        </w:rPr>
        <w:t xml:space="preserve"> anos de atividade, a </w:t>
      </w:r>
      <w:proofErr w:type="spellStart"/>
      <w:r w:rsidR="00A252FD">
        <w:rPr>
          <w:rFonts w:ascii="Times" w:hAnsi="Times"/>
          <w:bCs/>
          <w:color w:val="000000"/>
        </w:rPr>
        <w:t>Medcenter</w:t>
      </w:r>
      <w:proofErr w:type="spellEnd"/>
      <w:r w:rsidR="00A252FD">
        <w:rPr>
          <w:rFonts w:ascii="Times" w:hAnsi="Times"/>
          <w:bCs/>
          <w:color w:val="000000"/>
        </w:rPr>
        <w:t xml:space="preserve"> já ocupa sete andares do prédio e emprega mais de 30 médicos prestadores de serviços,</w:t>
      </w:r>
      <w:r w:rsidR="00DA27BA">
        <w:rPr>
          <w:rFonts w:ascii="Times" w:hAnsi="Times"/>
          <w:bCs/>
          <w:color w:val="000000"/>
        </w:rPr>
        <w:t xml:space="preserve"> além de muitos outros funcionários</w:t>
      </w:r>
      <w:r w:rsidR="004E39B7">
        <w:rPr>
          <w:rFonts w:ascii="Times" w:hAnsi="Times"/>
          <w:bCs/>
          <w:color w:val="000000"/>
        </w:rPr>
        <w:t xml:space="preserve">. Tal sucesso deve-se, sobretudo, à </w:t>
      </w:r>
      <w:r w:rsidR="00A252FD">
        <w:rPr>
          <w:rFonts w:ascii="Times" w:hAnsi="Times"/>
          <w:bCs/>
          <w:color w:val="000000"/>
        </w:rPr>
        <w:t xml:space="preserve">proeminência de </w:t>
      </w:r>
      <w:r w:rsidR="005446E5">
        <w:rPr>
          <w:rFonts w:ascii="Times" w:hAnsi="Times"/>
          <w:bCs/>
          <w:color w:val="000000"/>
        </w:rPr>
        <w:t>Paulo</w:t>
      </w:r>
      <w:r w:rsidR="00600F39">
        <w:rPr>
          <w:rFonts w:ascii="Times" w:hAnsi="Times"/>
          <w:bCs/>
          <w:color w:val="000000"/>
        </w:rPr>
        <w:t>, que se tornou um renomado palestrante, com frequentes aparições em programas televisivos.</w:t>
      </w:r>
    </w:p>
    <w:p w:rsidR="00A252FD" w:rsidRDefault="00A252FD" w:rsidP="0079661D">
      <w:pPr>
        <w:pStyle w:val="NormalWeb"/>
        <w:shd w:val="clear" w:color="auto" w:fill="FFFFFF"/>
        <w:spacing w:before="0" w:beforeAutospacing="0" w:after="0" w:afterAutospacing="0"/>
        <w:jc w:val="both"/>
        <w:rPr>
          <w:rFonts w:ascii="Times" w:hAnsi="Times"/>
          <w:bCs/>
          <w:color w:val="000000"/>
        </w:rPr>
      </w:pPr>
    </w:p>
    <w:p w:rsidR="0079661D" w:rsidRDefault="00A576E9" w:rsidP="0079661D">
      <w:pPr>
        <w:pStyle w:val="NormalWeb"/>
        <w:shd w:val="clear" w:color="auto" w:fill="FFFFFF"/>
        <w:spacing w:before="0" w:beforeAutospacing="0" w:after="0" w:afterAutospacing="0"/>
        <w:jc w:val="both"/>
        <w:rPr>
          <w:rFonts w:ascii="Times" w:hAnsi="Times"/>
          <w:bCs/>
          <w:color w:val="000000"/>
        </w:rPr>
      </w:pPr>
      <w:r>
        <w:rPr>
          <w:rFonts w:ascii="Times" w:hAnsi="Times"/>
          <w:bCs/>
          <w:color w:val="000000"/>
        </w:rPr>
        <w:t>Ressentido</w:t>
      </w:r>
      <w:r w:rsidR="00DA27BA">
        <w:rPr>
          <w:rFonts w:ascii="Times" w:hAnsi="Times"/>
          <w:bCs/>
          <w:color w:val="000000"/>
        </w:rPr>
        <w:t>s</w:t>
      </w:r>
      <w:r>
        <w:rPr>
          <w:rFonts w:ascii="Times" w:hAnsi="Times"/>
          <w:bCs/>
          <w:color w:val="000000"/>
        </w:rPr>
        <w:t xml:space="preserve"> com a posição desprestigiada que ocupa</w:t>
      </w:r>
      <w:r w:rsidR="00DA27BA">
        <w:rPr>
          <w:rFonts w:ascii="Times" w:hAnsi="Times"/>
          <w:bCs/>
          <w:color w:val="000000"/>
        </w:rPr>
        <w:t>va</w:t>
      </w:r>
      <w:r w:rsidR="005446E5">
        <w:rPr>
          <w:rFonts w:ascii="Times" w:hAnsi="Times"/>
          <w:bCs/>
          <w:color w:val="000000"/>
        </w:rPr>
        <w:t xml:space="preserve">m </w:t>
      </w:r>
      <w:r w:rsidR="00DA27BA">
        <w:rPr>
          <w:rFonts w:ascii="Times" w:hAnsi="Times"/>
          <w:bCs/>
          <w:color w:val="000000"/>
        </w:rPr>
        <w:t xml:space="preserve">e, cansados de ouvir reclamações de Paulo por sua baixa colaboração para a divulgação da sociedade, </w:t>
      </w:r>
      <w:r w:rsidR="001B1A4B">
        <w:rPr>
          <w:rFonts w:ascii="Times" w:hAnsi="Times"/>
          <w:bCs/>
          <w:color w:val="000000"/>
        </w:rPr>
        <w:t xml:space="preserve">André e Bruno </w:t>
      </w:r>
      <w:r w:rsidR="005446E5">
        <w:rPr>
          <w:rFonts w:ascii="Times" w:hAnsi="Times"/>
          <w:bCs/>
          <w:color w:val="000000"/>
        </w:rPr>
        <w:t>decidiram tomar rumos próprios</w:t>
      </w:r>
      <w:r w:rsidR="00DA27BA">
        <w:rPr>
          <w:rFonts w:ascii="Times" w:hAnsi="Times"/>
          <w:bCs/>
          <w:color w:val="000000"/>
        </w:rPr>
        <w:t xml:space="preserve">. Nos </w:t>
      </w:r>
      <w:r w:rsidR="005446E5">
        <w:rPr>
          <w:rFonts w:ascii="Times" w:hAnsi="Times"/>
          <w:bCs/>
          <w:color w:val="000000"/>
        </w:rPr>
        <w:t>termos do art. 1.029 do Código Civil</w:t>
      </w:r>
      <w:r w:rsidR="00DA27BA">
        <w:rPr>
          <w:rFonts w:ascii="Times" w:hAnsi="Times"/>
          <w:bCs/>
          <w:color w:val="000000"/>
        </w:rPr>
        <w:t>, requisitaram sua retirada da sociedade.</w:t>
      </w:r>
      <w:r w:rsidR="005446E5">
        <w:rPr>
          <w:rFonts w:ascii="Times" w:hAnsi="Times"/>
          <w:bCs/>
          <w:color w:val="000000"/>
        </w:rPr>
        <w:t xml:space="preserve"> </w:t>
      </w:r>
      <w:r w:rsidR="00062389">
        <w:rPr>
          <w:rFonts w:ascii="Times" w:hAnsi="Times"/>
          <w:bCs/>
          <w:color w:val="000000"/>
        </w:rPr>
        <w:t xml:space="preserve">Paulo não pretende encerrar as atividades sociais e </w:t>
      </w:r>
      <w:r w:rsidR="00DA27BA">
        <w:rPr>
          <w:rFonts w:ascii="Times" w:hAnsi="Times"/>
          <w:bCs/>
          <w:color w:val="000000"/>
        </w:rPr>
        <w:t xml:space="preserve">se propõe a </w:t>
      </w:r>
      <w:r w:rsidR="00062389">
        <w:rPr>
          <w:rFonts w:ascii="Times" w:hAnsi="Times"/>
          <w:bCs/>
          <w:color w:val="000000"/>
        </w:rPr>
        <w:t>pagar o val</w:t>
      </w:r>
      <w:r w:rsidR="00DA69AB">
        <w:rPr>
          <w:rFonts w:ascii="Times" w:hAnsi="Times"/>
          <w:bCs/>
          <w:color w:val="000000"/>
        </w:rPr>
        <w:t xml:space="preserve">or contábil das cotas, que correspondia, basicamente, às máquinas de diagnósticos que a </w:t>
      </w:r>
      <w:proofErr w:type="spellStart"/>
      <w:r w:rsidR="00DA69AB">
        <w:rPr>
          <w:rFonts w:ascii="Times" w:hAnsi="Times"/>
          <w:bCs/>
          <w:color w:val="000000"/>
        </w:rPr>
        <w:t>Medcenter</w:t>
      </w:r>
      <w:proofErr w:type="spellEnd"/>
      <w:r w:rsidR="00DA69AB">
        <w:rPr>
          <w:rFonts w:ascii="Times" w:hAnsi="Times"/>
          <w:bCs/>
          <w:color w:val="000000"/>
        </w:rPr>
        <w:t xml:space="preserve"> hav</w:t>
      </w:r>
      <w:r w:rsidR="001B1A4B">
        <w:rPr>
          <w:rFonts w:ascii="Times" w:hAnsi="Times"/>
          <w:bCs/>
          <w:color w:val="000000"/>
        </w:rPr>
        <w:t xml:space="preserve">ia adquirido ao longo dos anos. André e Bruno, contudo, discordam terminantemente do cálculo, e pretendem que seja incluído no cálculo o valor do intangível </w:t>
      </w:r>
      <w:r w:rsidR="00086CD1">
        <w:rPr>
          <w:rFonts w:ascii="Times" w:hAnsi="Times"/>
          <w:bCs/>
          <w:color w:val="000000"/>
        </w:rPr>
        <w:t xml:space="preserve">relacionado ao estabelecimento da </w:t>
      </w:r>
      <w:proofErr w:type="spellStart"/>
      <w:r w:rsidR="00086CD1">
        <w:rPr>
          <w:rFonts w:ascii="Times" w:hAnsi="Times"/>
          <w:bCs/>
          <w:color w:val="000000"/>
        </w:rPr>
        <w:t>Medcenter</w:t>
      </w:r>
      <w:proofErr w:type="spellEnd"/>
      <w:r w:rsidR="00086CD1">
        <w:rPr>
          <w:rFonts w:ascii="Times" w:hAnsi="Times"/>
          <w:bCs/>
          <w:color w:val="000000"/>
        </w:rPr>
        <w:t xml:space="preserve">, que deveria ser </w:t>
      </w:r>
      <w:r w:rsidR="006B5186">
        <w:rPr>
          <w:rFonts w:ascii="Times" w:hAnsi="Times"/>
          <w:bCs/>
          <w:color w:val="000000"/>
        </w:rPr>
        <w:t>obtido</w:t>
      </w:r>
      <w:r w:rsidR="00086CD1">
        <w:rPr>
          <w:rFonts w:ascii="Times" w:hAnsi="Times"/>
          <w:bCs/>
          <w:color w:val="000000"/>
        </w:rPr>
        <w:t xml:space="preserve"> </w:t>
      </w:r>
      <w:r w:rsidR="004E39B7">
        <w:rPr>
          <w:rFonts w:ascii="Times" w:hAnsi="Times"/>
          <w:bCs/>
          <w:color w:val="000000"/>
        </w:rPr>
        <w:t xml:space="preserve">trazendo </w:t>
      </w:r>
      <w:r w:rsidR="00086CD1">
        <w:rPr>
          <w:rFonts w:ascii="Times" w:hAnsi="Times"/>
          <w:bCs/>
          <w:color w:val="000000"/>
        </w:rPr>
        <w:t>a valor presente</w:t>
      </w:r>
      <w:r w:rsidR="004E39B7">
        <w:rPr>
          <w:rFonts w:ascii="Times" w:hAnsi="Times"/>
          <w:bCs/>
          <w:color w:val="000000"/>
        </w:rPr>
        <w:t xml:space="preserve"> a</w:t>
      </w:r>
      <w:r w:rsidR="00086CD1">
        <w:rPr>
          <w:rFonts w:ascii="Times" w:hAnsi="Times"/>
          <w:bCs/>
          <w:color w:val="000000"/>
        </w:rPr>
        <w:t xml:space="preserve"> rentabilidade futura esperada da clínica</w:t>
      </w:r>
      <w:r w:rsidR="004E39B7">
        <w:rPr>
          <w:rFonts w:ascii="Times" w:hAnsi="Times"/>
          <w:bCs/>
          <w:color w:val="000000"/>
        </w:rPr>
        <w:t xml:space="preserve"> (por meio do método de fluxo de caixa descontado)</w:t>
      </w:r>
      <w:r w:rsidR="00086CD1">
        <w:rPr>
          <w:rFonts w:ascii="Times" w:hAnsi="Times"/>
          <w:bCs/>
          <w:color w:val="000000"/>
        </w:rPr>
        <w:t xml:space="preserve">. </w:t>
      </w:r>
    </w:p>
    <w:p w:rsidR="00086CD1" w:rsidRDefault="00086CD1" w:rsidP="0079661D">
      <w:pPr>
        <w:pStyle w:val="NormalWeb"/>
        <w:shd w:val="clear" w:color="auto" w:fill="FFFFFF"/>
        <w:spacing w:before="0" w:beforeAutospacing="0" w:after="0" w:afterAutospacing="0"/>
        <w:jc w:val="both"/>
        <w:rPr>
          <w:rFonts w:ascii="Times" w:hAnsi="Times"/>
          <w:bCs/>
          <w:color w:val="000000"/>
        </w:rPr>
      </w:pPr>
    </w:p>
    <w:p w:rsidR="0079661D" w:rsidRDefault="0079661D" w:rsidP="0079661D">
      <w:pPr>
        <w:pStyle w:val="NormalWeb"/>
        <w:shd w:val="clear" w:color="auto" w:fill="FFFFFF"/>
        <w:spacing w:before="0" w:beforeAutospacing="0" w:after="0" w:afterAutospacing="0"/>
        <w:jc w:val="both"/>
        <w:rPr>
          <w:rFonts w:ascii="Times" w:hAnsi="Times"/>
          <w:bCs/>
          <w:color w:val="000000"/>
        </w:rPr>
      </w:pPr>
      <w:r>
        <w:rPr>
          <w:rFonts w:ascii="Times" w:hAnsi="Times"/>
          <w:bCs/>
          <w:color w:val="000000"/>
        </w:rPr>
        <w:t xml:space="preserve">Diante dessa situação, põem-se as seguintes questões: </w:t>
      </w:r>
    </w:p>
    <w:p w:rsidR="0079661D" w:rsidRDefault="0079661D" w:rsidP="0079661D">
      <w:pPr>
        <w:pStyle w:val="NormalWeb"/>
        <w:shd w:val="clear" w:color="auto" w:fill="FFFFFF"/>
        <w:spacing w:before="0" w:beforeAutospacing="0" w:after="0" w:afterAutospacing="0"/>
        <w:jc w:val="both"/>
        <w:rPr>
          <w:rFonts w:ascii="Times" w:hAnsi="Times"/>
          <w:bCs/>
          <w:color w:val="000000"/>
        </w:rPr>
      </w:pPr>
    </w:p>
    <w:p w:rsidR="00380CF0" w:rsidRDefault="00380CF0" w:rsidP="0079661D">
      <w:pPr>
        <w:pStyle w:val="NormalWeb"/>
        <w:numPr>
          <w:ilvl w:val="0"/>
          <w:numId w:val="8"/>
        </w:numPr>
        <w:shd w:val="clear" w:color="auto" w:fill="FFFFFF"/>
        <w:spacing w:before="0" w:beforeAutospacing="0" w:after="0" w:afterAutospacing="0"/>
        <w:jc w:val="both"/>
        <w:rPr>
          <w:rFonts w:ascii="Times" w:hAnsi="Times"/>
          <w:bCs/>
          <w:color w:val="000000"/>
        </w:rPr>
      </w:pPr>
      <w:r>
        <w:rPr>
          <w:rFonts w:ascii="Times" w:hAnsi="Times"/>
          <w:bCs/>
          <w:color w:val="000000"/>
        </w:rPr>
        <w:t>Uma sociedade simples pode ter um estabelecimento empresarial nos termos do art. 1.142 ss. do Código Civil?</w:t>
      </w:r>
    </w:p>
    <w:p w:rsidR="0079661D" w:rsidRDefault="00086CD1" w:rsidP="0079661D">
      <w:pPr>
        <w:pStyle w:val="NormalWeb"/>
        <w:numPr>
          <w:ilvl w:val="0"/>
          <w:numId w:val="8"/>
        </w:numPr>
        <w:shd w:val="clear" w:color="auto" w:fill="FFFFFF"/>
        <w:spacing w:before="0" w:beforeAutospacing="0" w:after="0" w:afterAutospacing="0"/>
        <w:jc w:val="both"/>
        <w:rPr>
          <w:rFonts w:ascii="Times" w:hAnsi="Times"/>
          <w:bCs/>
          <w:color w:val="000000"/>
        </w:rPr>
      </w:pPr>
      <w:r>
        <w:rPr>
          <w:rFonts w:ascii="Times" w:hAnsi="Times"/>
          <w:bCs/>
          <w:color w:val="000000"/>
        </w:rPr>
        <w:lastRenderedPageBreak/>
        <w:t xml:space="preserve">André e Bruno podem </w:t>
      </w:r>
      <w:r w:rsidR="0079661D">
        <w:rPr>
          <w:rFonts w:ascii="Times" w:hAnsi="Times"/>
          <w:bCs/>
          <w:color w:val="000000"/>
        </w:rPr>
        <w:t xml:space="preserve">pleitear que a apuração de haveres </w:t>
      </w:r>
      <w:r>
        <w:rPr>
          <w:rFonts w:ascii="Times" w:hAnsi="Times"/>
          <w:bCs/>
          <w:color w:val="000000"/>
        </w:rPr>
        <w:t xml:space="preserve">inclua </w:t>
      </w:r>
      <w:r w:rsidR="0079661D">
        <w:rPr>
          <w:rFonts w:ascii="Times" w:hAnsi="Times"/>
          <w:bCs/>
          <w:color w:val="000000"/>
        </w:rPr>
        <w:t xml:space="preserve">a avaliação do </w:t>
      </w:r>
      <w:r w:rsidR="00380CF0">
        <w:rPr>
          <w:rFonts w:ascii="Times" w:hAnsi="Times"/>
          <w:bCs/>
          <w:color w:val="000000"/>
        </w:rPr>
        <w:t>“</w:t>
      </w:r>
      <w:r w:rsidR="0079661D">
        <w:rPr>
          <w:rFonts w:ascii="Times" w:hAnsi="Times"/>
          <w:bCs/>
          <w:color w:val="000000"/>
        </w:rPr>
        <w:t>fundo de comércio</w:t>
      </w:r>
      <w:r w:rsidR="00380CF0">
        <w:rPr>
          <w:rFonts w:ascii="Times" w:hAnsi="Times"/>
          <w:bCs/>
          <w:color w:val="000000"/>
        </w:rPr>
        <w:t>”</w:t>
      </w:r>
      <w:r w:rsidR="0079661D">
        <w:rPr>
          <w:rFonts w:ascii="Times" w:hAnsi="Times"/>
          <w:bCs/>
          <w:color w:val="000000"/>
        </w:rPr>
        <w:t xml:space="preserve"> da </w:t>
      </w:r>
      <w:proofErr w:type="spellStart"/>
      <w:r w:rsidR="0079661D">
        <w:rPr>
          <w:rFonts w:ascii="Times" w:hAnsi="Times"/>
          <w:bCs/>
          <w:color w:val="000000"/>
        </w:rPr>
        <w:t>Medcenter</w:t>
      </w:r>
      <w:proofErr w:type="spellEnd"/>
      <w:r w:rsidR="0079661D">
        <w:rPr>
          <w:rFonts w:ascii="Times" w:hAnsi="Times"/>
          <w:bCs/>
          <w:color w:val="000000"/>
        </w:rPr>
        <w:t>?</w:t>
      </w:r>
    </w:p>
    <w:p w:rsidR="002D3576" w:rsidRDefault="002D3576" w:rsidP="0079661D">
      <w:pPr>
        <w:pStyle w:val="NormalWeb"/>
        <w:numPr>
          <w:ilvl w:val="0"/>
          <w:numId w:val="8"/>
        </w:numPr>
        <w:shd w:val="clear" w:color="auto" w:fill="FFFFFF"/>
        <w:spacing w:before="0" w:beforeAutospacing="0" w:after="0" w:afterAutospacing="0"/>
        <w:jc w:val="both"/>
        <w:rPr>
          <w:rFonts w:ascii="Times" w:hAnsi="Times"/>
          <w:bCs/>
          <w:color w:val="000000"/>
        </w:rPr>
      </w:pPr>
      <w:r>
        <w:rPr>
          <w:rFonts w:ascii="Times" w:hAnsi="Times"/>
          <w:bCs/>
          <w:color w:val="000000"/>
        </w:rPr>
        <w:t xml:space="preserve">Com o desenvolvimento da atividade econômica desenvolvida pela </w:t>
      </w:r>
      <w:proofErr w:type="spellStart"/>
      <w:r>
        <w:rPr>
          <w:rFonts w:ascii="Times" w:hAnsi="Times"/>
          <w:bCs/>
          <w:color w:val="000000"/>
        </w:rPr>
        <w:t>Medcenter</w:t>
      </w:r>
      <w:proofErr w:type="spellEnd"/>
      <w:r>
        <w:rPr>
          <w:rFonts w:ascii="Times" w:hAnsi="Times"/>
          <w:bCs/>
          <w:color w:val="000000"/>
        </w:rPr>
        <w:t>, é possível afirmar que ela se tornou uma sociedade “empresária” irregular?</w:t>
      </w:r>
    </w:p>
    <w:p w:rsidR="0032653C" w:rsidRPr="0032653C" w:rsidRDefault="00380CF0" w:rsidP="0032653C">
      <w:pPr>
        <w:pStyle w:val="NormalWeb"/>
        <w:numPr>
          <w:ilvl w:val="0"/>
          <w:numId w:val="8"/>
        </w:numPr>
        <w:shd w:val="clear" w:color="auto" w:fill="FFFFFF"/>
        <w:spacing w:before="0" w:beforeAutospacing="0" w:after="0" w:afterAutospacing="0"/>
        <w:jc w:val="both"/>
        <w:rPr>
          <w:rFonts w:ascii="Times" w:hAnsi="Times"/>
          <w:bCs/>
          <w:color w:val="000000"/>
        </w:rPr>
      </w:pPr>
      <w:r w:rsidRPr="0032653C">
        <w:rPr>
          <w:rFonts w:ascii="Times" w:hAnsi="Times"/>
          <w:bCs/>
          <w:color w:val="000000"/>
        </w:rPr>
        <w:t xml:space="preserve">Suponha que, posteriormente, a </w:t>
      </w:r>
      <w:proofErr w:type="spellStart"/>
      <w:r w:rsidRPr="0032653C">
        <w:rPr>
          <w:rFonts w:ascii="Times" w:hAnsi="Times"/>
          <w:bCs/>
          <w:color w:val="000000"/>
        </w:rPr>
        <w:t>Medcenter</w:t>
      </w:r>
      <w:proofErr w:type="spellEnd"/>
      <w:r w:rsidRPr="0032653C">
        <w:rPr>
          <w:rFonts w:ascii="Times" w:hAnsi="Times"/>
          <w:bCs/>
          <w:color w:val="000000"/>
        </w:rPr>
        <w:t xml:space="preserve"> venha a se encontrar em situação de insolvência. Seria possível que um de seus credores pedisse sua falência, </w:t>
      </w:r>
      <w:r w:rsidR="0032653C" w:rsidRPr="0032653C">
        <w:rPr>
          <w:rFonts w:ascii="Times" w:hAnsi="Times"/>
          <w:bCs/>
          <w:color w:val="000000"/>
        </w:rPr>
        <w:t>tendo em vista que o art. 1º da Lei 11.101/05 determina que “</w:t>
      </w:r>
      <w:bookmarkStart w:id="0" w:name="art1"/>
      <w:bookmarkEnd w:id="0"/>
      <w:r w:rsidR="0032653C" w:rsidRPr="0032653C">
        <w:rPr>
          <w:rFonts w:ascii="Times" w:hAnsi="Times"/>
          <w:bCs/>
          <w:color w:val="000000"/>
        </w:rPr>
        <w:t>Esta Lei disciplina a recuperação judicial, a recuperação extrajudicial e a falência do empresário e da sociedade empresária, doravante referidos simplesmente como devedo</w:t>
      </w:r>
      <w:r w:rsidR="0032653C">
        <w:rPr>
          <w:rFonts w:ascii="Times" w:hAnsi="Times"/>
          <w:bCs/>
          <w:color w:val="000000"/>
        </w:rPr>
        <w:t>r</w:t>
      </w:r>
      <w:r w:rsidR="0032653C" w:rsidRPr="0032653C">
        <w:rPr>
          <w:rFonts w:ascii="Times" w:hAnsi="Times"/>
          <w:bCs/>
          <w:color w:val="000000"/>
        </w:rPr>
        <w:t>”</w:t>
      </w:r>
      <w:r w:rsidR="0032653C">
        <w:rPr>
          <w:rFonts w:ascii="Times" w:hAnsi="Times"/>
          <w:bCs/>
          <w:color w:val="000000"/>
        </w:rPr>
        <w:t>?</w:t>
      </w:r>
    </w:p>
    <w:p w:rsidR="0079661D" w:rsidRDefault="0079661D" w:rsidP="0079661D">
      <w:pPr>
        <w:pStyle w:val="NormalWeb"/>
        <w:shd w:val="clear" w:color="auto" w:fill="FFFFFF"/>
        <w:spacing w:before="0" w:beforeAutospacing="0" w:after="0" w:afterAutospacing="0"/>
        <w:jc w:val="both"/>
        <w:rPr>
          <w:rFonts w:ascii="Times" w:hAnsi="Times"/>
          <w:bCs/>
          <w:color w:val="000000"/>
        </w:rPr>
      </w:pPr>
    </w:p>
    <w:p w:rsidR="0079661D" w:rsidRPr="00BC656D" w:rsidRDefault="0079661D" w:rsidP="0079661D">
      <w:pPr>
        <w:pStyle w:val="NormalWeb"/>
        <w:shd w:val="clear" w:color="auto" w:fill="FFFFFF"/>
        <w:spacing w:before="0" w:beforeAutospacing="0" w:after="0" w:afterAutospacing="0"/>
        <w:jc w:val="both"/>
        <w:rPr>
          <w:rFonts w:ascii="Times" w:hAnsi="Times"/>
          <w:b/>
          <w:bCs/>
          <w:color w:val="000000"/>
        </w:rPr>
      </w:pPr>
      <w:r w:rsidRPr="00BC656D">
        <w:rPr>
          <w:rFonts w:ascii="Times" w:hAnsi="Times"/>
          <w:b/>
          <w:bCs/>
          <w:color w:val="000000"/>
        </w:rPr>
        <w:t xml:space="preserve">Bibliografia básica: </w:t>
      </w:r>
    </w:p>
    <w:p w:rsidR="008871BD" w:rsidRDefault="008871BD" w:rsidP="008871BD">
      <w:pPr>
        <w:pStyle w:val="NormalWeb"/>
        <w:shd w:val="clear" w:color="auto" w:fill="FFFFFF"/>
        <w:spacing w:before="0" w:beforeAutospacing="0" w:after="0" w:afterAutospacing="0"/>
        <w:ind w:left="360"/>
        <w:jc w:val="both"/>
        <w:rPr>
          <w:rFonts w:ascii="Times" w:hAnsi="Times"/>
          <w:bCs/>
          <w:color w:val="000000"/>
        </w:rPr>
      </w:pPr>
    </w:p>
    <w:p w:rsidR="00341BAE" w:rsidRPr="001B2305" w:rsidRDefault="00341BAE" w:rsidP="00341BAE">
      <w:pPr>
        <w:pStyle w:val="NormalWeb"/>
        <w:numPr>
          <w:ilvl w:val="0"/>
          <w:numId w:val="9"/>
        </w:numPr>
        <w:shd w:val="clear" w:color="auto" w:fill="FFFFFF"/>
        <w:spacing w:before="0" w:beforeAutospacing="0" w:after="0" w:afterAutospacing="0"/>
        <w:jc w:val="both"/>
      </w:pPr>
      <w:r w:rsidRPr="00341BAE">
        <w:rPr>
          <w:rFonts w:ascii="Times" w:hAnsi="Times"/>
          <w:bCs/>
          <w:color w:val="000000"/>
        </w:rPr>
        <w:t>GONÇALVES</w:t>
      </w:r>
      <w:r w:rsidRPr="001B2305">
        <w:t xml:space="preserve"> NETO, Alfredo de Assis. </w:t>
      </w:r>
      <w:r w:rsidRPr="001B2305">
        <w:rPr>
          <w:b/>
        </w:rPr>
        <w:t>Direito de Empresa</w:t>
      </w:r>
      <w:r w:rsidRPr="001B2305">
        <w:t xml:space="preserve">, 4ª ed., São Paulo: Revista dos Tribunais, 2012, pp. </w:t>
      </w:r>
      <w:r>
        <w:t>79-82</w:t>
      </w:r>
      <w:r w:rsidRPr="001B2305">
        <w:t xml:space="preserve">; pp. </w:t>
      </w:r>
      <w:r>
        <w:t xml:space="preserve">153-155; pp. </w:t>
      </w:r>
      <w:r w:rsidR="000177F9">
        <w:t>289-295.</w:t>
      </w:r>
    </w:p>
    <w:p w:rsidR="008871BD" w:rsidRDefault="008871BD" w:rsidP="0079661D">
      <w:pPr>
        <w:pStyle w:val="NormalWeb"/>
        <w:shd w:val="clear" w:color="auto" w:fill="FFFFFF"/>
        <w:spacing w:before="0" w:beforeAutospacing="0" w:after="0" w:afterAutospacing="0"/>
        <w:jc w:val="both"/>
        <w:rPr>
          <w:rFonts w:ascii="Times" w:hAnsi="Times"/>
          <w:bCs/>
          <w:color w:val="000000"/>
        </w:rPr>
      </w:pPr>
    </w:p>
    <w:p w:rsidR="0079661D" w:rsidRDefault="0079661D" w:rsidP="0079661D">
      <w:pPr>
        <w:pStyle w:val="NormalWeb"/>
        <w:numPr>
          <w:ilvl w:val="0"/>
          <w:numId w:val="9"/>
        </w:numPr>
        <w:shd w:val="clear" w:color="auto" w:fill="FFFFFF"/>
        <w:spacing w:before="0" w:beforeAutospacing="0" w:after="0" w:afterAutospacing="0"/>
        <w:jc w:val="both"/>
        <w:rPr>
          <w:rFonts w:ascii="Times" w:hAnsi="Times"/>
          <w:bCs/>
          <w:color w:val="000000"/>
        </w:rPr>
      </w:pPr>
      <w:r>
        <w:rPr>
          <w:rFonts w:ascii="Times" w:hAnsi="Times"/>
          <w:bCs/>
          <w:color w:val="000000"/>
        </w:rPr>
        <w:t xml:space="preserve">STJ, </w:t>
      </w:r>
      <w:proofErr w:type="spellStart"/>
      <w:r>
        <w:rPr>
          <w:rFonts w:ascii="Times" w:hAnsi="Times"/>
          <w:bCs/>
          <w:color w:val="000000"/>
        </w:rPr>
        <w:t>REsp</w:t>
      </w:r>
      <w:proofErr w:type="spellEnd"/>
      <w:r>
        <w:rPr>
          <w:rFonts w:ascii="Times" w:hAnsi="Times"/>
          <w:bCs/>
          <w:color w:val="000000"/>
        </w:rPr>
        <w:t xml:space="preserve"> n. 958.116-PR, rel. Min. Raul Araújo, j. 22/05/2012. </w:t>
      </w:r>
    </w:p>
    <w:p w:rsidR="008871BD" w:rsidRPr="008871BD" w:rsidRDefault="008871BD" w:rsidP="008871BD">
      <w:pPr>
        <w:pStyle w:val="NormalWeb"/>
        <w:shd w:val="clear" w:color="auto" w:fill="FFFFFF"/>
        <w:spacing w:before="0" w:beforeAutospacing="0" w:after="0" w:afterAutospacing="0"/>
        <w:jc w:val="both"/>
        <w:rPr>
          <w:rFonts w:ascii="Times" w:hAnsi="Times"/>
          <w:bCs/>
          <w:color w:val="000000"/>
        </w:rPr>
      </w:pPr>
    </w:p>
    <w:p w:rsidR="008871BD" w:rsidRDefault="008871BD" w:rsidP="008871BD">
      <w:pPr>
        <w:pStyle w:val="NormalWeb"/>
        <w:numPr>
          <w:ilvl w:val="0"/>
          <w:numId w:val="9"/>
        </w:numPr>
        <w:shd w:val="clear" w:color="auto" w:fill="FFFFFF"/>
        <w:spacing w:before="0" w:beforeAutospacing="0" w:after="0" w:afterAutospacing="0"/>
        <w:jc w:val="both"/>
        <w:rPr>
          <w:rFonts w:ascii="Times" w:hAnsi="Times"/>
          <w:bCs/>
          <w:color w:val="000000"/>
        </w:rPr>
      </w:pPr>
      <w:r w:rsidRPr="00CE2C39">
        <w:rPr>
          <w:bCs/>
          <w:color w:val="000000"/>
        </w:rPr>
        <w:t>TJSP</w:t>
      </w:r>
      <w:r>
        <w:rPr>
          <w:rFonts w:ascii="Times" w:hAnsi="Times"/>
          <w:bCs/>
          <w:color w:val="000000"/>
        </w:rPr>
        <w:t xml:space="preserve">, </w:t>
      </w:r>
      <w:r w:rsidRPr="004173E6">
        <w:rPr>
          <w:rFonts w:ascii="Times" w:hAnsi="Times"/>
          <w:bCs/>
          <w:color w:val="000000"/>
        </w:rPr>
        <w:t>Agravo de Instrumento nº 0187821-36.2012.8.26.0000</w:t>
      </w:r>
      <w:r>
        <w:rPr>
          <w:rFonts w:ascii="Times" w:hAnsi="Times"/>
          <w:bCs/>
          <w:color w:val="000000"/>
        </w:rPr>
        <w:t xml:space="preserve">, Rel. Des. José Reynaldo, j. 25/03/2013. </w:t>
      </w:r>
    </w:p>
    <w:p w:rsidR="0079661D" w:rsidRDefault="0079661D" w:rsidP="0079661D">
      <w:pPr>
        <w:pStyle w:val="NormalWeb"/>
        <w:shd w:val="clear" w:color="auto" w:fill="FFFFFF"/>
        <w:spacing w:before="0" w:beforeAutospacing="0" w:after="0" w:afterAutospacing="0"/>
        <w:jc w:val="both"/>
        <w:rPr>
          <w:rFonts w:ascii="Times" w:hAnsi="Times"/>
          <w:bCs/>
          <w:color w:val="000000"/>
        </w:rPr>
      </w:pPr>
    </w:p>
    <w:p w:rsidR="0079661D" w:rsidRPr="00BC656D" w:rsidRDefault="0079661D" w:rsidP="0079661D">
      <w:pPr>
        <w:pStyle w:val="NormalWeb"/>
        <w:shd w:val="clear" w:color="auto" w:fill="FFFFFF"/>
        <w:spacing w:before="0" w:beforeAutospacing="0" w:after="0" w:afterAutospacing="0"/>
        <w:jc w:val="both"/>
        <w:rPr>
          <w:rFonts w:ascii="Times" w:hAnsi="Times"/>
          <w:b/>
          <w:bCs/>
          <w:color w:val="000000"/>
        </w:rPr>
      </w:pPr>
      <w:r w:rsidRPr="00BC656D">
        <w:rPr>
          <w:rFonts w:ascii="Times" w:hAnsi="Times"/>
          <w:b/>
          <w:bCs/>
          <w:color w:val="000000"/>
        </w:rPr>
        <w:t xml:space="preserve">Bibliografia complementar: </w:t>
      </w:r>
    </w:p>
    <w:p w:rsidR="0079661D" w:rsidRDefault="0079661D" w:rsidP="0079661D">
      <w:pPr>
        <w:pStyle w:val="NormalWeb"/>
        <w:shd w:val="clear" w:color="auto" w:fill="FFFFFF"/>
        <w:spacing w:before="0" w:beforeAutospacing="0" w:after="0" w:afterAutospacing="0"/>
        <w:jc w:val="both"/>
        <w:rPr>
          <w:rFonts w:ascii="Times" w:hAnsi="Times"/>
          <w:bCs/>
          <w:color w:val="000000"/>
        </w:rPr>
      </w:pPr>
    </w:p>
    <w:p w:rsidR="0079661D" w:rsidRPr="00083490" w:rsidRDefault="0079661D" w:rsidP="0079661D">
      <w:pPr>
        <w:pStyle w:val="NormalWeb"/>
        <w:numPr>
          <w:ilvl w:val="0"/>
          <w:numId w:val="14"/>
        </w:numPr>
        <w:shd w:val="clear" w:color="auto" w:fill="FFFFFF"/>
        <w:spacing w:before="0" w:beforeAutospacing="0" w:after="0" w:afterAutospacing="0"/>
        <w:jc w:val="both"/>
        <w:rPr>
          <w:rFonts w:ascii="Times" w:hAnsi="Times"/>
          <w:bCs/>
          <w:color w:val="000000"/>
        </w:rPr>
      </w:pPr>
      <w:r>
        <w:rPr>
          <w:rFonts w:ascii="Times" w:hAnsi="Times"/>
          <w:bCs/>
          <w:color w:val="000000"/>
        </w:rPr>
        <w:t xml:space="preserve">TJSP, Apelação </w:t>
      </w:r>
      <w:r w:rsidRPr="00743417">
        <w:rPr>
          <w:rFonts w:ascii="Times" w:hAnsi="Times"/>
          <w:bCs/>
          <w:color w:val="000000"/>
        </w:rPr>
        <w:t xml:space="preserve">nº 0122177-84.2005.8.26.0100, Rel. Des. </w:t>
      </w:r>
      <w:proofErr w:type="spellStart"/>
      <w:r w:rsidRPr="00083490">
        <w:rPr>
          <w:rFonts w:ascii="Times" w:hAnsi="Times"/>
          <w:bCs/>
          <w:color w:val="000000"/>
        </w:rPr>
        <w:t>Enio</w:t>
      </w:r>
      <w:proofErr w:type="spellEnd"/>
      <w:r w:rsidRPr="00083490">
        <w:rPr>
          <w:rFonts w:ascii="Times" w:hAnsi="Times"/>
          <w:bCs/>
          <w:color w:val="000000"/>
        </w:rPr>
        <w:t xml:space="preserve"> </w:t>
      </w:r>
      <w:proofErr w:type="spellStart"/>
      <w:r w:rsidRPr="00083490">
        <w:rPr>
          <w:rFonts w:ascii="Times" w:hAnsi="Times"/>
          <w:bCs/>
          <w:color w:val="000000"/>
        </w:rPr>
        <w:t>Zuliani</w:t>
      </w:r>
      <w:proofErr w:type="spellEnd"/>
      <w:r w:rsidRPr="00083490">
        <w:rPr>
          <w:rFonts w:ascii="Times" w:hAnsi="Times"/>
          <w:bCs/>
          <w:color w:val="000000"/>
        </w:rPr>
        <w:t>, j. 07/11/2013.</w:t>
      </w:r>
    </w:p>
    <w:p w:rsidR="008871BD" w:rsidRPr="008871BD" w:rsidRDefault="008871BD" w:rsidP="008871BD">
      <w:pPr>
        <w:pStyle w:val="NormalWeb"/>
        <w:shd w:val="clear" w:color="auto" w:fill="FFFFFF"/>
        <w:spacing w:before="0" w:beforeAutospacing="0" w:after="0" w:afterAutospacing="0"/>
        <w:ind w:left="360"/>
        <w:jc w:val="both"/>
        <w:rPr>
          <w:rFonts w:ascii="Times" w:hAnsi="Times"/>
          <w:bCs/>
          <w:color w:val="000000"/>
        </w:rPr>
      </w:pPr>
    </w:p>
    <w:p w:rsidR="005E4EC2" w:rsidRDefault="005E4EC2" w:rsidP="005E4EC2">
      <w:pPr>
        <w:pStyle w:val="NormalWeb"/>
        <w:numPr>
          <w:ilvl w:val="0"/>
          <w:numId w:val="14"/>
        </w:numPr>
        <w:shd w:val="clear" w:color="auto" w:fill="FFFFFF"/>
        <w:spacing w:before="0" w:beforeAutospacing="0" w:after="0" w:afterAutospacing="0"/>
        <w:jc w:val="both"/>
        <w:rPr>
          <w:rFonts w:ascii="Times" w:hAnsi="Times"/>
          <w:bCs/>
          <w:color w:val="000000"/>
        </w:rPr>
      </w:pPr>
      <w:r w:rsidRPr="00BC656D">
        <w:rPr>
          <w:rFonts w:ascii="Times" w:hAnsi="Times"/>
          <w:bCs/>
          <w:caps/>
          <w:color w:val="000000"/>
        </w:rPr>
        <w:t>França</w:t>
      </w:r>
      <w:r>
        <w:rPr>
          <w:rFonts w:ascii="Times" w:hAnsi="Times"/>
          <w:bCs/>
          <w:color w:val="000000"/>
        </w:rPr>
        <w:t xml:space="preserve">, Erasmo </w:t>
      </w:r>
      <w:proofErr w:type="spellStart"/>
      <w:r>
        <w:rPr>
          <w:rFonts w:ascii="Times" w:hAnsi="Times"/>
          <w:bCs/>
          <w:color w:val="000000"/>
        </w:rPr>
        <w:t>Valladão</w:t>
      </w:r>
      <w:proofErr w:type="spellEnd"/>
      <w:r>
        <w:rPr>
          <w:rFonts w:ascii="Times" w:hAnsi="Times"/>
          <w:bCs/>
          <w:color w:val="000000"/>
        </w:rPr>
        <w:t xml:space="preserve"> Azevedo e Novaes. “Sociedade que tem por objeto </w:t>
      </w:r>
      <w:r w:rsidRPr="00924F2C">
        <w:rPr>
          <w:rFonts w:ascii="Times" w:hAnsi="Times"/>
          <w:bCs/>
          <w:color w:val="000000"/>
        </w:rPr>
        <w:t xml:space="preserve">a prestação de serviços de natureza intelectual é de natureza simples, qualquer que seja </w:t>
      </w:r>
      <w:r>
        <w:rPr>
          <w:rFonts w:ascii="Times" w:hAnsi="Times"/>
          <w:bCs/>
          <w:color w:val="000000"/>
        </w:rPr>
        <w:t xml:space="preserve">a forma de sua organização”. In: </w:t>
      </w:r>
      <w:r w:rsidRPr="004173E6">
        <w:rPr>
          <w:rFonts w:ascii="Times" w:hAnsi="Times"/>
          <w:b/>
          <w:bCs/>
          <w:color w:val="000000"/>
        </w:rPr>
        <w:t>Revista de Direito Mercantil, Industrial, Econômico e Financeiro</w:t>
      </w:r>
      <w:r>
        <w:rPr>
          <w:rFonts w:ascii="Times" w:hAnsi="Times"/>
          <w:bCs/>
          <w:color w:val="000000"/>
        </w:rPr>
        <w:t>, n. 157, 2011, pp. 241-258.</w:t>
      </w:r>
    </w:p>
    <w:p w:rsidR="0079661D" w:rsidRDefault="0079661D" w:rsidP="0079661D">
      <w:pPr>
        <w:pStyle w:val="NormalWeb"/>
        <w:shd w:val="clear" w:color="auto" w:fill="FFFFFF"/>
        <w:spacing w:before="0" w:beforeAutospacing="0" w:after="0" w:afterAutospacing="0"/>
        <w:jc w:val="both"/>
        <w:rPr>
          <w:rFonts w:ascii="Times" w:hAnsi="Times"/>
          <w:bCs/>
          <w:color w:val="000000"/>
        </w:rPr>
      </w:pPr>
    </w:p>
    <w:p w:rsidR="0079661D" w:rsidRPr="003240A9" w:rsidRDefault="00737302" w:rsidP="0079661D">
      <w:pPr>
        <w:pStyle w:val="NormalWeb"/>
        <w:numPr>
          <w:ilvl w:val="0"/>
          <w:numId w:val="14"/>
        </w:numPr>
        <w:shd w:val="clear" w:color="auto" w:fill="FFFFFF"/>
        <w:spacing w:before="0" w:beforeAutospacing="0" w:after="0" w:afterAutospacing="0"/>
        <w:jc w:val="both"/>
        <w:rPr>
          <w:rFonts w:ascii="Times" w:hAnsi="Times"/>
          <w:bCs/>
          <w:color w:val="000000"/>
        </w:rPr>
      </w:pPr>
      <w:r>
        <w:rPr>
          <w:bCs/>
          <w:color w:val="000000"/>
        </w:rPr>
        <w:t>FERRAZ JUNIOR, Té</w:t>
      </w:r>
      <w:r w:rsidR="0079661D">
        <w:rPr>
          <w:bCs/>
          <w:color w:val="000000"/>
        </w:rPr>
        <w:t>rcio Sampaio. “</w:t>
      </w:r>
      <w:r w:rsidR="0079661D" w:rsidRPr="00743417">
        <w:t xml:space="preserve">Da Inexistência de Fundo de Comércio na Sociedade de Profissionais de Engenharia”. In: </w:t>
      </w:r>
      <w:r w:rsidR="0079661D" w:rsidRPr="00743417">
        <w:rPr>
          <w:b/>
        </w:rPr>
        <w:t xml:space="preserve">Revista de Direito Mercantil, Industrial, </w:t>
      </w:r>
      <w:r w:rsidR="0079661D" w:rsidRPr="00743417">
        <w:rPr>
          <w:rFonts w:ascii="Times" w:hAnsi="Times" w:cs="Times"/>
          <w:b/>
        </w:rPr>
        <w:t>Econômico e Financeiro</w:t>
      </w:r>
      <w:r w:rsidR="0079661D" w:rsidRPr="00743417">
        <w:rPr>
          <w:rFonts w:ascii="Times" w:hAnsi="Times" w:cs="Times"/>
        </w:rPr>
        <w:t xml:space="preserve">, n. 111, </w:t>
      </w:r>
      <w:r w:rsidR="008871BD">
        <w:rPr>
          <w:rFonts w:ascii="Times" w:hAnsi="Times" w:cs="Times"/>
        </w:rPr>
        <w:t>1998, p. 45-51.</w:t>
      </w:r>
    </w:p>
    <w:p w:rsidR="003240A9" w:rsidRDefault="003240A9" w:rsidP="003240A9">
      <w:pPr>
        <w:pStyle w:val="PargrafodaLista"/>
        <w:rPr>
          <w:rFonts w:ascii="Times" w:hAnsi="Times"/>
          <w:bCs/>
          <w:color w:val="000000"/>
        </w:rPr>
      </w:pPr>
    </w:p>
    <w:p w:rsidR="003240A9" w:rsidRPr="00CB2430" w:rsidRDefault="003240A9" w:rsidP="003240A9">
      <w:pPr>
        <w:pStyle w:val="NormalWeb"/>
        <w:numPr>
          <w:ilvl w:val="0"/>
          <w:numId w:val="14"/>
        </w:numPr>
        <w:shd w:val="clear" w:color="auto" w:fill="FFFFFF"/>
        <w:spacing w:before="0" w:beforeAutospacing="0" w:after="0" w:afterAutospacing="0"/>
        <w:jc w:val="both"/>
        <w:rPr>
          <w:rFonts w:ascii="Times" w:hAnsi="Times"/>
          <w:bCs/>
          <w:color w:val="000000"/>
        </w:rPr>
      </w:pPr>
      <w:r>
        <w:rPr>
          <w:rFonts w:ascii="Times" w:hAnsi="Times"/>
          <w:bCs/>
          <w:color w:val="000000"/>
        </w:rPr>
        <w:t xml:space="preserve">STJ, </w:t>
      </w:r>
      <w:proofErr w:type="spellStart"/>
      <w:r>
        <w:rPr>
          <w:rFonts w:ascii="Times" w:hAnsi="Times"/>
          <w:bCs/>
          <w:color w:val="000000"/>
        </w:rPr>
        <w:t>REsp</w:t>
      </w:r>
      <w:proofErr w:type="spellEnd"/>
      <w:r>
        <w:rPr>
          <w:rFonts w:ascii="Times" w:hAnsi="Times"/>
          <w:bCs/>
          <w:color w:val="000000"/>
        </w:rPr>
        <w:t xml:space="preserve"> n. </w:t>
      </w:r>
      <w:r w:rsidRPr="003240A9">
        <w:rPr>
          <w:rFonts w:ascii="Times" w:hAnsi="Times"/>
          <w:bCs/>
          <w:color w:val="000000"/>
        </w:rPr>
        <w:t xml:space="preserve">1.227.240 </w:t>
      </w:r>
      <w:r>
        <w:rPr>
          <w:rFonts w:ascii="Times" w:hAnsi="Times"/>
          <w:bCs/>
          <w:color w:val="000000"/>
        </w:rPr>
        <w:t>–</w:t>
      </w:r>
      <w:r w:rsidRPr="003240A9">
        <w:rPr>
          <w:rFonts w:ascii="Times" w:hAnsi="Times"/>
          <w:bCs/>
          <w:color w:val="000000"/>
        </w:rPr>
        <w:t xml:space="preserve"> SP</w:t>
      </w:r>
      <w:r>
        <w:rPr>
          <w:rFonts w:ascii="Times" w:hAnsi="Times"/>
          <w:bCs/>
          <w:color w:val="000000"/>
        </w:rPr>
        <w:t xml:space="preserve">, rel. Min. </w:t>
      </w:r>
      <w:proofErr w:type="spellStart"/>
      <w:r>
        <w:rPr>
          <w:rFonts w:ascii="Times" w:hAnsi="Times"/>
          <w:bCs/>
          <w:color w:val="000000"/>
        </w:rPr>
        <w:t>Luis</w:t>
      </w:r>
      <w:proofErr w:type="spellEnd"/>
      <w:r>
        <w:rPr>
          <w:rFonts w:ascii="Times" w:hAnsi="Times"/>
          <w:bCs/>
          <w:color w:val="000000"/>
        </w:rPr>
        <w:t xml:space="preserve"> Felipe Salomão, j. 26/05/2015.</w:t>
      </w:r>
      <w:bookmarkStart w:id="1" w:name="_GoBack"/>
      <w:bookmarkEnd w:id="1"/>
    </w:p>
    <w:sectPr w:rsidR="003240A9" w:rsidRPr="00CB2430" w:rsidSect="007966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4E6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70CE0"/>
    <w:multiLevelType w:val="hybridMultilevel"/>
    <w:tmpl w:val="FD8C8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92FBC"/>
    <w:multiLevelType w:val="hybridMultilevel"/>
    <w:tmpl w:val="E8883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EC1BEF"/>
    <w:multiLevelType w:val="hybridMultilevel"/>
    <w:tmpl w:val="FD8C8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A558E"/>
    <w:multiLevelType w:val="hybridMultilevel"/>
    <w:tmpl w:val="69E03B00"/>
    <w:lvl w:ilvl="0" w:tplc="85EC1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B09E0"/>
    <w:multiLevelType w:val="hybridMultilevel"/>
    <w:tmpl w:val="4E708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E13ED5"/>
    <w:multiLevelType w:val="hybridMultilevel"/>
    <w:tmpl w:val="4E708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F5FCA"/>
    <w:multiLevelType w:val="hybridMultilevel"/>
    <w:tmpl w:val="AC549C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2D1B9B"/>
    <w:multiLevelType w:val="hybridMultilevel"/>
    <w:tmpl w:val="5A3C0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64AD9"/>
    <w:multiLevelType w:val="hybridMultilevel"/>
    <w:tmpl w:val="7D06D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E01D9"/>
    <w:multiLevelType w:val="hybridMultilevel"/>
    <w:tmpl w:val="794CEF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1A1BC1"/>
    <w:multiLevelType w:val="hybridMultilevel"/>
    <w:tmpl w:val="FD8C8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5107E"/>
    <w:multiLevelType w:val="multilevel"/>
    <w:tmpl w:val="ADFC265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CF221FA"/>
    <w:multiLevelType w:val="hybridMultilevel"/>
    <w:tmpl w:val="E8883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7"/>
  </w:num>
  <w:num w:numId="4">
    <w:abstractNumId w:val="11"/>
  </w:num>
  <w:num w:numId="5">
    <w:abstractNumId w:val="0"/>
  </w:num>
  <w:num w:numId="6">
    <w:abstractNumId w:val="1"/>
  </w:num>
  <w:num w:numId="7">
    <w:abstractNumId w:val="3"/>
  </w:num>
  <w:num w:numId="8">
    <w:abstractNumId w:val="4"/>
  </w:num>
  <w:num w:numId="9">
    <w:abstractNumId w:val="5"/>
  </w:num>
  <w:num w:numId="10">
    <w:abstractNumId w:val="8"/>
  </w:num>
  <w:num w:numId="11">
    <w:abstractNumId w:val="2"/>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52612"/>
    <w:rsid w:val="000177F9"/>
    <w:rsid w:val="00062389"/>
    <w:rsid w:val="00083490"/>
    <w:rsid w:val="00086CD1"/>
    <w:rsid w:val="001B1A4B"/>
    <w:rsid w:val="002B3131"/>
    <w:rsid w:val="002D3576"/>
    <w:rsid w:val="003240A9"/>
    <w:rsid w:val="0032653C"/>
    <w:rsid w:val="00341BAE"/>
    <w:rsid w:val="00380CF0"/>
    <w:rsid w:val="003D6CD8"/>
    <w:rsid w:val="004E39B7"/>
    <w:rsid w:val="005446E5"/>
    <w:rsid w:val="005E4EC2"/>
    <w:rsid w:val="00600F39"/>
    <w:rsid w:val="00652612"/>
    <w:rsid w:val="006B5186"/>
    <w:rsid w:val="00737302"/>
    <w:rsid w:val="00743417"/>
    <w:rsid w:val="0079661D"/>
    <w:rsid w:val="008660BC"/>
    <w:rsid w:val="008871BD"/>
    <w:rsid w:val="00926F49"/>
    <w:rsid w:val="00A1427B"/>
    <w:rsid w:val="00A252FD"/>
    <w:rsid w:val="00A576E9"/>
    <w:rsid w:val="00BF4F0C"/>
    <w:rsid w:val="00DA27BA"/>
    <w:rsid w:val="00DA69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61E9A-95EE-4ABF-B486-E8427DAD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52612"/>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semiHidden/>
    <w:unhideWhenUsed/>
    <w:rsid w:val="00652612"/>
    <w:rPr>
      <w:color w:val="0000FF"/>
      <w:u w:val="single"/>
    </w:rPr>
  </w:style>
  <w:style w:type="character" w:styleId="HiperlinkVisitado">
    <w:name w:val="FollowedHyperlink"/>
    <w:uiPriority w:val="99"/>
    <w:semiHidden/>
    <w:unhideWhenUsed/>
    <w:rsid w:val="00652612"/>
    <w:rPr>
      <w:color w:val="800080"/>
      <w:u w:val="single"/>
    </w:rPr>
  </w:style>
  <w:style w:type="paragraph" w:styleId="Textodebalo">
    <w:name w:val="Balloon Text"/>
    <w:basedOn w:val="Normal"/>
    <w:link w:val="TextodebaloChar"/>
    <w:uiPriority w:val="99"/>
    <w:semiHidden/>
    <w:unhideWhenUsed/>
    <w:rsid w:val="00BC4FF1"/>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C4FF1"/>
    <w:rPr>
      <w:rFonts w:ascii="Tahoma" w:hAnsi="Tahoma" w:cs="Tahoma"/>
      <w:sz w:val="16"/>
      <w:szCs w:val="16"/>
    </w:rPr>
  </w:style>
  <w:style w:type="character" w:customStyle="1" w:styleId="apple-converted-space">
    <w:name w:val="apple-converted-space"/>
    <w:basedOn w:val="Fontepargpadro"/>
    <w:rsid w:val="00F93E7A"/>
  </w:style>
  <w:style w:type="paragraph" w:customStyle="1" w:styleId="GradeMdia1-nfase21">
    <w:name w:val="Grade Média 1 - Ênfase 21"/>
    <w:basedOn w:val="Normal"/>
    <w:uiPriority w:val="34"/>
    <w:qFormat/>
    <w:rsid w:val="002241CE"/>
    <w:pPr>
      <w:spacing w:after="0" w:line="240" w:lineRule="auto"/>
      <w:ind w:left="720"/>
      <w:contextualSpacing/>
    </w:pPr>
    <w:rPr>
      <w:rFonts w:ascii="Cambria" w:eastAsia="Cambria" w:hAnsi="Cambria"/>
      <w:noProof/>
      <w:sz w:val="24"/>
      <w:szCs w:val="24"/>
    </w:rPr>
  </w:style>
  <w:style w:type="paragraph" w:customStyle="1" w:styleId="ListaColorida-nfase11">
    <w:name w:val="Lista Colorida - Ênfase 11"/>
    <w:basedOn w:val="Normal"/>
    <w:uiPriority w:val="34"/>
    <w:qFormat/>
    <w:rsid w:val="00A269BE"/>
    <w:pPr>
      <w:spacing w:after="0" w:line="240" w:lineRule="auto"/>
      <w:ind w:left="720"/>
      <w:contextualSpacing/>
    </w:pPr>
    <w:rPr>
      <w:rFonts w:ascii="Cambria" w:eastAsia="Cambria" w:hAnsi="Cambria"/>
      <w:noProof/>
      <w:sz w:val="24"/>
      <w:szCs w:val="24"/>
    </w:rPr>
  </w:style>
  <w:style w:type="paragraph" w:styleId="Textodenotaderodap">
    <w:name w:val="footnote text"/>
    <w:basedOn w:val="Normal"/>
    <w:link w:val="TextodenotaderodapChar"/>
    <w:uiPriority w:val="99"/>
    <w:semiHidden/>
    <w:unhideWhenUsed/>
    <w:rsid w:val="00674997"/>
    <w:rPr>
      <w:sz w:val="24"/>
      <w:szCs w:val="24"/>
    </w:rPr>
  </w:style>
  <w:style w:type="character" w:customStyle="1" w:styleId="TextodenotaderodapChar">
    <w:name w:val="Texto de nota de rodapé Char"/>
    <w:link w:val="Textodenotaderodap"/>
    <w:uiPriority w:val="99"/>
    <w:semiHidden/>
    <w:rsid w:val="00674997"/>
    <w:rPr>
      <w:sz w:val="24"/>
      <w:szCs w:val="24"/>
    </w:rPr>
  </w:style>
  <w:style w:type="character" w:styleId="Refdenotaderodap">
    <w:name w:val="footnote reference"/>
    <w:uiPriority w:val="99"/>
    <w:semiHidden/>
    <w:unhideWhenUsed/>
    <w:rsid w:val="00674997"/>
    <w:rPr>
      <w:vertAlign w:val="superscript"/>
    </w:rPr>
  </w:style>
  <w:style w:type="paragraph" w:styleId="PargrafodaLista">
    <w:name w:val="List Paragraph"/>
    <w:basedOn w:val="Normal"/>
    <w:qFormat/>
    <w:rsid w:val="00BF4F0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3403">
      <w:bodyDiv w:val="1"/>
      <w:marLeft w:val="0"/>
      <w:marRight w:val="0"/>
      <w:marTop w:val="0"/>
      <w:marBottom w:val="0"/>
      <w:divBdr>
        <w:top w:val="none" w:sz="0" w:space="0" w:color="auto"/>
        <w:left w:val="none" w:sz="0" w:space="0" w:color="auto"/>
        <w:bottom w:val="none" w:sz="0" w:space="0" w:color="auto"/>
        <w:right w:val="none" w:sz="0" w:space="0" w:color="auto"/>
      </w:divBdr>
    </w:div>
    <w:div w:id="336274061">
      <w:bodyDiv w:val="1"/>
      <w:marLeft w:val="0"/>
      <w:marRight w:val="0"/>
      <w:marTop w:val="0"/>
      <w:marBottom w:val="0"/>
      <w:divBdr>
        <w:top w:val="none" w:sz="0" w:space="0" w:color="auto"/>
        <w:left w:val="none" w:sz="0" w:space="0" w:color="auto"/>
        <w:bottom w:val="none" w:sz="0" w:space="0" w:color="auto"/>
        <w:right w:val="none" w:sz="0" w:space="0" w:color="auto"/>
      </w:divBdr>
    </w:div>
    <w:div w:id="1170485406">
      <w:bodyDiv w:val="1"/>
      <w:marLeft w:val="0"/>
      <w:marRight w:val="0"/>
      <w:marTop w:val="0"/>
      <w:marBottom w:val="0"/>
      <w:divBdr>
        <w:top w:val="none" w:sz="0" w:space="0" w:color="auto"/>
        <w:left w:val="none" w:sz="0" w:space="0" w:color="auto"/>
        <w:bottom w:val="none" w:sz="0" w:space="0" w:color="auto"/>
        <w:right w:val="none" w:sz="0" w:space="0" w:color="auto"/>
      </w:divBdr>
    </w:div>
    <w:div w:id="1622807759">
      <w:bodyDiv w:val="1"/>
      <w:marLeft w:val="0"/>
      <w:marRight w:val="0"/>
      <w:marTop w:val="0"/>
      <w:marBottom w:val="0"/>
      <w:divBdr>
        <w:top w:val="none" w:sz="0" w:space="0" w:color="auto"/>
        <w:left w:val="none" w:sz="0" w:space="0" w:color="auto"/>
        <w:bottom w:val="none" w:sz="0" w:space="0" w:color="auto"/>
        <w:right w:val="none" w:sz="0" w:space="0" w:color="auto"/>
      </w:divBdr>
    </w:div>
    <w:div w:id="19757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3580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Buschinelli</dc:creator>
  <cp:lastModifiedBy>Mariana Martins Costa Ferreira</cp:lastModifiedBy>
  <cp:revision>3</cp:revision>
  <dcterms:created xsi:type="dcterms:W3CDTF">2015-08-21T13:39:00Z</dcterms:created>
  <dcterms:modified xsi:type="dcterms:W3CDTF">2015-08-23T13:52:00Z</dcterms:modified>
</cp:coreProperties>
</file>