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7" w:rsidRPr="00131E37" w:rsidRDefault="00131E37" w:rsidP="00131E37">
      <w:pPr>
        <w:jc w:val="center"/>
        <w:rPr>
          <w:rFonts w:ascii="Times New Roman" w:hAnsi="Times New Roman" w:cs="Times New Roman"/>
          <w:b/>
          <w:sz w:val="24"/>
        </w:rPr>
      </w:pPr>
      <w:r w:rsidRPr="00131E37">
        <w:rPr>
          <w:rFonts w:ascii="Times New Roman" w:hAnsi="Times New Roman" w:cs="Times New Roman"/>
          <w:b/>
          <w:sz w:val="24"/>
        </w:rPr>
        <w:t>Exercício de Análise de Variância</w:t>
      </w:r>
    </w:p>
    <w:p w:rsidR="00131E37" w:rsidRDefault="00131E37">
      <w:pPr>
        <w:rPr>
          <w:rFonts w:ascii="Times New Roman" w:hAnsi="Times New Roman" w:cs="Times New Roman"/>
          <w:sz w:val="24"/>
        </w:rPr>
      </w:pPr>
    </w:p>
    <w:p w:rsidR="00893B42" w:rsidRPr="00131E37" w:rsidRDefault="00131E37" w:rsidP="00131E3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131E37">
        <w:rPr>
          <w:rFonts w:ascii="Times New Roman" w:hAnsi="Times New Roman" w:cs="Times New Roman"/>
          <w:sz w:val="24"/>
        </w:rPr>
        <w:t>Completar a tabela a seguir</w:t>
      </w:r>
      <w:r w:rsidRPr="00131E37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4"/>
        <w:gridCol w:w="850"/>
        <w:gridCol w:w="991"/>
        <w:gridCol w:w="993"/>
        <w:gridCol w:w="993"/>
        <w:gridCol w:w="991"/>
        <w:gridCol w:w="991"/>
        <w:gridCol w:w="1139"/>
        <w:gridCol w:w="966"/>
        <w:gridCol w:w="957"/>
      </w:tblGrid>
      <w:tr w:rsidR="00F65B2A" w:rsidRPr="003B1E5C" w:rsidTr="00F65B2A"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B1E5C">
              <w:rPr>
                <w:rFonts w:ascii="Times New Roman" w:eastAsiaTheme="minorEastAsia" w:hAnsi="Times New Roman" w:cs="Times New Roman"/>
                <w:i/>
              </w:rPr>
              <w:t>i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2A" w:rsidRPr="003B1E5C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F65B2A" w:rsidRPr="003B1E5C" w:rsidTr="00F65B2A"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39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5,6</w:t>
            </w:r>
          </w:p>
        </w:tc>
        <w:tc>
          <w:tcPr>
            <w:tcW w:w="39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4,0</w:t>
            </w: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8,5</w:t>
            </w:r>
          </w:p>
        </w:tc>
        <w:tc>
          <w:tcPr>
            <w:tcW w:w="39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6,0</w:t>
            </w: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9,0</w:t>
            </w:r>
          </w:p>
        </w:tc>
        <w:tc>
          <w:tcPr>
            <w:tcW w:w="39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7,0</w:t>
            </w: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Soma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F65B2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F65B2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F65B2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65B2A" w:rsidRPr="003B1E5C" w:rsidTr="00F65B2A">
        <w:tc>
          <w:tcPr>
            <w:tcW w:w="382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Média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8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----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464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464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F65B2A" w:rsidRPr="003B1E5C" w:rsidRDefault="00F65B2A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B1E5C">
              <w:rPr>
                <w:rFonts w:ascii="Times New Roman" w:eastAsiaTheme="minorEastAsia" w:hAnsi="Times New Roman" w:cs="Times New Roman"/>
              </w:rPr>
              <w:t>---</w:t>
            </w:r>
          </w:p>
        </w:tc>
      </w:tr>
    </w:tbl>
    <w:p w:rsidR="006E68A1" w:rsidRDefault="006E68A1"/>
    <w:p w:rsidR="00F534C1" w:rsidRPr="00131E37" w:rsidRDefault="00F534C1" w:rsidP="00131E37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</w:rPr>
      </w:pPr>
      <w:r w:rsidRPr="00131E37">
        <w:rPr>
          <w:rFonts w:ascii="Times New Roman" w:eastAsiaTheme="minorEastAsia" w:hAnsi="Times New Roman" w:cs="Times New Roman"/>
        </w:rPr>
        <w:t xml:space="preserve">Obter as estimativas dos parâmetros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>e</m:t>
        </m:r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</m:oMath>
      <w:r w:rsidR="00131E37">
        <w:rPr>
          <w:rFonts w:ascii="Times New Roman" w:eastAsiaTheme="minorEastAsia" w:hAnsi="Times New Roman" w:cs="Times New Roman"/>
        </w:rPr>
        <w:t xml:space="preserve"> utilizando as seguintes formulações</w:t>
      </w:r>
    </w:p>
    <w:p w:rsidR="00F534C1" w:rsidRPr="00653D4C" w:rsidRDefault="00F534C1" w:rsidP="00F534C1">
      <w:pPr>
        <w:spacing w:line="240" w:lineRule="auto"/>
        <w:rPr>
          <w:rFonts w:ascii="Times New Roman" w:eastAsiaTheme="minorEastAsia" w:hAnsi="Times New Roman" w:cs="Times New Roman"/>
        </w:rPr>
      </w:pPr>
    </w:p>
    <w:p w:rsidR="00F534C1" w:rsidRDefault="001F2012" w:rsidP="00F534C1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31E37" w:rsidRDefault="00131E37" w:rsidP="00F534C1">
      <w:pPr>
        <w:spacing w:line="240" w:lineRule="auto"/>
        <w:rPr>
          <w:rFonts w:eastAsiaTheme="minorEastAsia"/>
        </w:rPr>
      </w:pPr>
    </w:p>
    <w:p w:rsidR="00131E37" w:rsidRDefault="001F2012" w:rsidP="00F534C1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31E37" w:rsidRPr="00131E37" w:rsidRDefault="00131E37" w:rsidP="00F534C1">
      <w:pPr>
        <w:spacing w:line="240" w:lineRule="auto"/>
        <w:rPr>
          <w:rFonts w:eastAsiaTheme="minorEastAsia"/>
        </w:rPr>
      </w:pPr>
    </w:p>
    <w:p w:rsidR="00F534C1" w:rsidRDefault="001F2012" w:rsidP="00F534C1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31E37" w:rsidRPr="00653D4C" w:rsidRDefault="00131E37" w:rsidP="00F534C1">
      <w:pPr>
        <w:spacing w:line="240" w:lineRule="auto"/>
        <w:rPr>
          <w:rFonts w:eastAsiaTheme="minorEastAsia"/>
        </w:rPr>
      </w:pPr>
    </w:p>
    <w:p w:rsidR="00F534C1" w:rsidRDefault="001F2012" w:rsidP="00F534C1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131E37" w:rsidRPr="00653D4C" w:rsidRDefault="00131E37" w:rsidP="00F534C1">
      <w:pPr>
        <w:spacing w:line="240" w:lineRule="auto"/>
        <w:rPr>
          <w:rFonts w:eastAsiaTheme="minorEastAsia"/>
        </w:rPr>
      </w:pPr>
    </w:p>
    <w:p w:rsidR="00F534C1" w:rsidRDefault="001F2012" w:rsidP="00F534C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</m:oMath>
      </m:oMathPara>
    </w:p>
    <w:p w:rsidR="00131E37" w:rsidRDefault="00131E37" w:rsidP="000758E3">
      <w:pPr>
        <w:spacing w:line="240" w:lineRule="auto"/>
        <w:rPr>
          <w:rFonts w:ascii="Times New Roman" w:hAnsi="Times New Roman" w:cs="Times New Roman"/>
        </w:rPr>
      </w:pPr>
    </w:p>
    <w:p w:rsidR="00131E37" w:rsidRDefault="00131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58E3" w:rsidRDefault="00131E37" w:rsidP="000758E3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0758E3" w:rsidRPr="00E03550">
        <w:rPr>
          <w:rFonts w:ascii="Times New Roman" w:hAnsi="Times New Roman" w:cs="Times New Roman"/>
        </w:rPr>
        <w:t>imos também que</w:t>
      </w:r>
      <w:r w:rsidR="000758E3">
        <w:rPr>
          <w:rFonts w:ascii="Times New Roman" w:hAnsi="Times New Roman" w:cs="Times New Roman"/>
        </w:rPr>
        <w:t>,</w:t>
      </w:r>
      <w:r w:rsidR="000758E3" w:rsidRPr="00E03550">
        <w:rPr>
          <w:rFonts w:ascii="Times New Roman" w:hAnsi="Times New Roman" w:cs="Times New Roman"/>
        </w:rPr>
        <w:t xml:space="preserve"> os parâmetros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>e</m:t>
        </m:r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 xml:space="preserve"> </m:t>
        </m:r>
      </m:oMath>
      <w:r w:rsidR="000758E3" w:rsidRPr="00E03550">
        <w:rPr>
          <w:rFonts w:ascii="Times New Roman" w:eastAsiaTheme="minorEastAsia" w:hAnsi="Times New Roman" w:cs="Times New Roman"/>
        </w:rPr>
        <w:t xml:space="preserve">são combinações lineares dos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</w:p>
    <w:p w:rsidR="000758E3" w:rsidRDefault="001F2012" w:rsidP="0007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0758E3">
        <w:rPr>
          <w:rFonts w:eastAsiaTheme="minorEastAsia"/>
        </w:rPr>
        <w:t xml:space="preserve">    </w:t>
      </w:r>
      <w:r w:rsidR="000758E3" w:rsidRPr="008E3C08">
        <w:rPr>
          <w:rFonts w:ascii="Times New Roman" w:eastAsiaTheme="minorEastAsia" w:hAnsi="Times New Roman" w:cs="Times New Roman"/>
        </w:rPr>
        <w:t>em que:</w:t>
      </w:r>
      <w:r w:rsidR="000758E3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bSup>
              </m:e>
            </m:nary>
          </m:den>
        </m:f>
      </m:oMath>
    </w:p>
    <w:p w:rsidR="000758E3" w:rsidRPr="004E5559" w:rsidRDefault="001F2012" w:rsidP="0007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0758E3">
        <w:rPr>
          <w:rFonts w:eastAsiaTheme="minorEastAsia"/>
        </w:rPr>
        <w:t xml:space="preserve">    </w:t>
      </w:r>
      <w:r w:rsidR="000758E3" w:rsidRPr="008E3C08">
        <w:rPr>
          <w:rFonts w:ascii="Times New Roman" w:eastAsiaTheme="minorEastAsia" w:hAnsi="Times New Roman" w:cs="Times New Roman"/>
        </w:rPr>
        <w:t>em que:</w:t>
      </w:r>
      <w:r w:rsidR="000758E3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  <m:r>
          <w:rPr>
            <w:rFonts w:ascii="Cambria Math" w:hAnsi="Cambria Math"/>
            <w:sz w:val="28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</w:p>
    <w:p w:rsidR="00390E5F" w:rsidRPr="00131E37" w:rsidRDefault="00131E37" w:rsidP="00131E3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31E37">
        <w:rPr>
          <w:rFonts w:ascii="Times New Roman" w:hAnsi="Times New Roman" w:cs="Times New Roman"/>
        </w:rPr>
        <w:t>Complete a tabela a seguir e verifique as afirmações anteriores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9"/>
        <w:gridCol w:w="1190"/>
        <w:gridCol w:w="1188"/>
        <w:gridCol w:w="1186"/>
        <w:gridCol w:w="1186"/>
        <w:gridCol w:w="1186"/>
        <w:gridCol w:w="1188"/>
        <w:gridCol w:w="1188"/>
        <w:gridCol w:w="1181"/>
      </w:tblGrid>
      <w:tr w:rsidR="00390E5F" w:rsidTr="005D07DC"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2738A7">
              <w:rPr>
                <w:rFonts w:ascii="Times New Roman" w:eastAsiaTheme="minorEastAsia" w:hAnsi="Times New Roman" w:cs="Times New Roman"/>
                <w:i/>
              </w:rPr>
              <w:t>i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E5F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390E5F" w:rsidTr="005D07DC"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90E5F" w:rsidTr="005D07DC"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3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90E5F" w:rsidTr="005D07DC"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5,6</w:t>
            </w: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</w:t>
            </w: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3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90E5F" w:rsidTr="005D07DC"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8,5</w:t>
            </w: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6,0</w:t>
            </w: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3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90E5F" w:rsidTr="005D07DC"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557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9,0</w:t>
            </w: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7,0</w:t>
            </w: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3" w:type="pct"/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90E5F" w:rsidTr="00390E5F"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90E5F" w:rsidTr="00390E5F">
        <w:tc>
          <w:tcPr>
            <w:tcW w:w="557" w:type="pct"/>
            <w:tcBorders>
              <w:top w:val="single" w:sz="4" w:space="0" w:color="auto"/>
              <w:bottom w:val="nil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Soma</w:t>
            </w: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nil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nil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F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390E5F" w:rsidRPr="00390E5F" w:rsidRDefault="00390E5F" w:rsidP="00390E5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F" w:rsidRPr="00390E5F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0E5F" w:rsidTr="00390E5F">
        <w:tc>
          <w:tcPr>
            <w:tcW w:w="557" w:type="pct"/>
            <w:tcBorders>
              <w:top w:val="nil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Média</w:t>
            </w: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390E5F" w:rsidRPr="00F65B2A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----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----</w:t>
            </w: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390E5F" w:rsidRPr="002738A7" w:rsidRDefault="00390E5F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</w:tr>
    </w:tbl>
    <w:p w:rsidR="00390E5F" w:rsidRDefault="00390E5F" w:rsidP="00390E5F">
      <w:pPr>
        <w:spacing w:line="240" w:lineRule="auto"/>
        <w:rPr>
          <w:rFonts w:ascii="Times New Roman" w:hAnsi="Times New Roman" w:cs="Times New Roman"/>
        </w:rPr>
      </w:pPr>
    </w:p>
    <w:p w:rsidR="00F363BB" w:rsidRDefault="00F363BB" w:rsidP="00390E5F">
      <w:pPr>
        <w:spacing w:line="240" w:lineRule="auto"/>
        <w:rPr>
          <w:rFonts w:ascii="Times New Roman" w:hAnsi="Times New Roman" w:cs="Times New Roman"/>
        </w:rPr>
      </w:pPr>
    </w:p>
    <w:p w:rsidR="005D07DC" w:rsidRPr="00131E37" w:rsidRDefault="00131E37" w:rsidP="00131E3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as informações da tabela a seguir para posterior o</w:t>
      </w:r>
      <w:r w:rsidRPr="00131E37">
        <w:rPr>
          <w:rFonts w:ascii="Times New Roman" w:hAnsi="Times New Roman" w:cs="Times New Roman"/>
        </w:rPr>
        <w:t>btenção das s</w:t>
      </w:r>
      <w:r w:rsidR="005D07DC" w:rsidRPr="00131E37">
        <w:rPr>
          <w:rFonts w:ascii="Times New Roman" w:hAnsi="Times New Roman" w:cs="Times New Roman"/>
        </w:rPr>
        <w:t>omas de quadrados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8"/>
        <w:gridCol w:w="1338"/>
        <w:gridCol w:w="1336"/>
        <w:gridCol w:w="1334"/>
        <w:gridCol w:w="1333"/>
        <w:gridCol w:w="1333"/>
        <w:gridCol w:w="1335"/>
        <w:gridCol w:w="1335"/>
      </w:tblGrid>
      <w:tr w:rsidR="005D07DC" w:rsidTr="005D07DC"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2738A7">
              <w:rPr>
                <w:rFonts w:ascii="Times New Roman" w:eastAsiaTheme="minorEastAsia" w:hAnsi="Times New Roman" w:cs="Times New Roman"/>
                <w:i/>
              </w:rPr>
              <w:t>i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1F2012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5D07DC" w:rsidTr="005D07DC"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D07DC" w:rsidTr="005D07DC"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D07DC" w:rsidTr="005D07DC"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5,6</w:t>
            </w: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D07DC" w:rsidTr="005D07DC"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8,5</w:t>
            </w: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D07DC" w:rsidTr="005D07DC"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26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9,0</w:t>
            </w: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D07DC" w:rsidTr="005D07DC"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5D07DC" w:rsidTr="005D07DC">
        <w:tc>
          <w:tcPr>
            <w:tcW w:w="626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Soma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F65B2A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F65B2A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500F30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500F30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500F30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500F30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5D07DC" w:rsidRPr="00500F30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5D07DC" w:rsidTr="005D07DC">
        <w:tc>
          <w:tcPr>
            <w:tcW w:w="626" w:type="pct"/>
            <w:tcBorders>
              <w:top w:val="nil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738A7">
              <w:rPr>
                <w:rFonts w:ascii="Times New Roman" w:eastAsiaTheme="minorEastAsia" w:hAnsi="Times New Roman" w:cs="Times New Roman"/>
              </w:rPr>
              <w:t>Média</w:t>
            </w:r>
          </w:p>
        </w:tc>
        <w:tc>
          <w:tcPr>
            <w:tcW w:w="626" w:type="pct"/>
            <w:tcBorders>
              <w:top w:val="nil"/>
            </w:tcBorders>
            <w:vAlign w:val="center"/>
          </w:tcPr>
          <w:p w:rsidR="005D07DC" w:rsidRPr="00F65B2A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25" w:type="pct"/>
            <w:tcBorders>
              <w:top w:val="nil"/>
            </w:tcBorders>
            <w:vAlign w:val="center"/>
          </w:tcPr>
          <w:p w:rsidR="005D07DC" w:rsidRPr="00F65B2A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---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D07DC" w:rsidRPr="00246553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46553">
              <w:rPr>
                <w:rFonts w:ascii="Times New Roman" w:eastAsiaTheme="minorEastAsia" w:hAnsi="Times New Roman" w:cs="Times New Roman"/>
                <w:b/>
              </w:rPr>
              <w:t>---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nil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nil"/>
            </w:tcBorders>
            <w:vAlign w:val="center"/>
          </w:tcPr>
          <w:p w:rsidR="005D07DC" w:rsidRPr="002738A7" w:rsidRDefault="005D07DC" w:rsidP="005D07D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---</w:t>
            </w:r>
          </w:p>
        </w:tc>
      </w:tr>
    </w:tbl>
    <w:p w:rsidR="00CF6FA2" w:rsidRDefault="00CF6FA2"/>
    <w:p w:rsidR="005D07DC" w:rsidRPr="005D07DC" w:rsidRDefault="001F2012" w:rsidP="00CF6FA2">
      <w:pPr>
        <w:tabs>
          <w:tab w:val="left" w:pos="1860"/>
        </w:tabs>
        <w:rPr>
          <w:rFonts w:eastAsiaTheme="minorEastAsia"/>
          <w:sz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SQTotal</m:t>
                </m:r>
                <m:r>
                  <w:rPr>
                    <w:rFonts w:ascii="Cambria Math" w:hAnsi="Cambria Math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</m:e>
            </m:mr>
            <m:mr>
              <m:e/>
            </m:mr>
          </m:m>
        </m:oMath>
      </m:oMathPara>
    </w:p>
    <w:p w:rsidR="005D07DC" w:rsidRPr="005D07DC" w:rsidRDefault="005D07DC" w:rsidP="00CF6FA2">
      <w:pPr>
        <w:tabs>
          <w:tab w:val="left" w:pos="1860"/>
        </w:tabs>
        <w:rPr>
          <w:rFonts w:eastAsiaTheme="minorEastAsia"/>
          <w:sz w:val="24"/>
        </w:rPr>
      </w:pPr>
    </w:p>
    <w:p w:rsidR="00D34538" w:rsidRPr="00D34538" w:rsidRDefault="00D34538" w:rsidP="00CF6FA2">
      <w:pPr>
        <w:tabs>
          <w:tab w:val="left" w:pos="1860"/>
        </w:tabs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SQTotal</m:t>
          </m:r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sz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</w:rPr>
            <m:t>=</m:t>
          </m:r>
        </m:oMath>
      </m:oMathPara>
    </w:p>
    <w:p w:rsidR="00D34538" w:rsidRPr="00D34538" w:rsidRDefault="00D34538" w:rsidP="00D34538">
      <w:pPr>
        <w:tabs>
          <w:tab w:val="left" w:pos="1860"/>
        </w:tabs>
        <w:rPr>
          <w:rFonts w:eastAsiaTheme="minorEastAsia"/>
          <w:sz w:val="24"/>
        </w:rPr>
      </w:pPr>
    </w:p>
    <w:p w:rsidR="00D34538" w:rsidRPr="00D34538" w:rsidRDefault="001F2012" w:rsidP="00CF6FA2">
      <w:pPr>
        <w:tabs>
          <w:tab w:val="left" w:pos="1860"/>
        </w:tabs>
        <w:rPr>
          <w:rFonts w:eastAsiaTheme="minorEastAsia"/>
          <w:sz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SQRegressão=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4"/>
                  </w:rPr>
                  <m:t>=</m:t>
                </m:r>
              </m:e>
            </m:mr>
            <m:mr>
              <m:e/>
            </m:mr>
          </m:m>
        </m:oMath>
      </m:oMathPara>
    </w:p>
    <w:p w:rsidR="00CF6FA2" w:rsidRPr="00CF6FA2" w:rsidRDefault="00CF6FA2" w:rsidP="00CF6FA2">
      <w:pPr>
        <w:tabs>
          <w:tab w:val="left" w:pos="1860"/>
        </w:tabs>
        <w:rPr>
          <w:rFonts w:eastAsiaTheme="minorEastAsia"/>
          <w:b/>
          <w:sz w:val="24"/>
        </w:rPr>
      </w:pPr>
    </w:p>
    <w:p w:rsidR="005D07DC" w:rsidRDefault="00D34538" w:rsidP="00CF6FA2">
      <w:pPr>
        <w:tabs>
          <w:tab w:val="left" w:pos="1860"/>
        </w:tabs>
        <w:rPr>
          <w:rFonts w:ascii="Times New Roman" w:eastAsiaTheme="minorEastAsia" w:hAnsi="Times New Roman" w:cs="Times New Roman"/>
          <w:noProof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SQRegressão</m:t>
          </m:r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sz w:val="24"/>
            </w:rPr>
            <m:t>=</m:t>
          </m:r>
        </m:oMath>
      </m:oMathPara>
    </w:p>
    <w:p w:rsidR="00D34538" w:rsidRPr="00D34538" w:rsidRDefault="00D34538" w:rsidP="005D07DC">
      <w:pPr>
        <w:spacing w:line="360" w:lineRule="auto"/>
        <w:jc w:val="center"/>
        <w:rPr>
          <w:rFonts w:ascii="Times New Roman" w:eastAsiaTheme="minorEastAsia" w:hAnsi="Times New Roman" w:cs="Times New Roman"/>
          <w:noProof/>
          <w:sz w:val="24"/>
        </w:rPr>
      </w:pPr>
    </w:p>
    <w:p w:rsidR="00D34538" w:rsidRPr="00D34538" w:rsidRDefault="00D34538" w:rsidP="005D07DC">
      <w:pPr>
        <w:spacing w:line="360" w:lineRule="auto"/>
        <w:jc w:val="center"/>
        <w:rPr>
          <w:rFonts w:ascii="Times New Roman" w:eastAsiaTheme="minorEastAsia" w:hAnsi="Times New Roman" w:cs="Times New Roman"/>
          <w:noProof/>
          <w:sz w:val="24"/>
        </w:rPr>
      </w:pPr>
    </w:p>
    <w:p w:rsidR="00D34538" w:rsidRPr="00D34538" w:rsidRDefault="001F2012" w:rsidP="00CF6FA2">
      <w:pPr>
        <w:spacing w:line="360" w:lineRule="auto"/>
        <w:jc w:val="center"/>
        <w:rPr>
          <w:rFonts w:ascii="Times New Roman" w:eastAsiaTheme="minorEastAsia" w:hAnsi="Times New Roman" w:cs="Times New Roman"/>
          <w:noProof/>
          <w:sz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SQResíduo</m:t>
                </m:r>
                <m:r>
                  <w:rPr>
                    <w:rFonts w:ascii="Cambria Math" w:hAnsi="Cambria Math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4"/>
                  </w:rPr>
                  <m:t>=</m:t>
                </m:r>
              </m:e>
            </m:mr>
            <m:mr>
              <m:e/>
            </m:mr>
          </m:m>
        </m:oMath>
      </m:oMathPara>
    </w:p>
    <w:p w:rsidR="00CF6FA2" w:rsidRPr="00CF6FA2" w:rsidRDefault="00CF6FA2" w:rsidP="00CF6FA2">
      <w:pPr>
        <w:spacing w:line="360" w:lineRule="auto"/>
        <w:jc w:val="center"/>
        <w:rPr>
          <w:rFonts w:ascii="Times New Roman" w:eastAsiaTheme="minorEastAsia" w:hAnsi="Times New Roman" w:cs="Times New Roman"/>
          <w:b/>
          <w:noProof/>
          <w:sz w:val="24"/>
        </w:rPr>
      </w:pPr>
    </w:p>
    <w:p w:rsidR="005D07DC" w:rsidRPr="00D04700" w:rsidRDefault="00731A8F" w:rsidP="00CF6FA2">
      <w:pPr>
        <w:spacing w:line="360" w:lineRule="auto"/>
        <w:jc w:val="center"/>
        <w:rPr>
          <w:rFonts w:ascii="Times New Roman" w:eastAsiaTheme="minorEastAsia" w:hAnsi="Times New Roman" w:cs="Times New Roman"/>
          <w:noProof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SQResíduo</m:t>
          </m:r>
          <m:r>
            <w:rPr>
              <w:rFonts w:ascii="Cambria Math" w:hAnsi="Cambria Math"/>
              <w:sz w:val="24"/>
            </w:rPr>
            <m:t>=SQTotal-SQRegressão=</m:t>
          </m:r>
        </m:oMath>
      </m:oMathPara>
    </w:p>
    <w:p w:rsidR="00731A8F" w:rsidRPr="00CF6FA2" w:rsidRDefault="00CF6FA2" w:rsidP="00CF6FA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Completar o </w:t>
      </w:r>
      <w:r w:rsidR="00731A8F" w:rsidRPr="00CF6FA2">
        <w:rPr>
          <w:rFonts w:ascii="Times New Roman" w:hAnsi="Times New Roman" w:cs="Times New Roman"/>
        </w:rPr>
        <w:t xml:space="preserve">Quadro da Análise de Variância e </w:t>
      </w:r>
      <w:r>
        <w:rPr>
          <w:rFonts w:ascii="Times New Roman" w:hAnsi="Times New Roman" w:cs="Times New Roman"/>
        </w:rPr>
        <w:t xml:space="preserve">concluir a respeito do </w:t>
      </w:r>
      <w:r w:rsidR="00731A8F" w:rsidRPr="00CF6FA2">
        <w:rPr>
          <w:rFonts w:ascii="Times New Roman" w:hAnsi="Times New Roman" w:cs="Times New Roman"/>
        </w:rPr>
        <w:t>teste F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731A8F" w:rsidTr="00731A8F">
        <w:trPr>
          <w:trHeight w:val="552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CF6FA2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Fontes</w:t>
            </w:r>
            <w:r w:rsidR="00731A8F" w:rsidRPr="00731A8F">
              <w:rPr>
                <w:rFonts w:ascii="Times New Roman" w:hAnsi="Times New Roman" w:cs="Times New Roman"/>
              </w:rPr>
              <w:t xml:space="preserve"> de Variação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1A8F">
              <w:rPr>
                <w:rFonts w:ascii="Times New Roman" w:hAnsi="Times New Roman" w:cs="Times New Roman"/>
              </w:rPr>
              <w:t>Graus de liberdade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1A8F">
              <w:rPr>
                <w:rFonts w:ascii="Times New Roman" w:hAnsi="Times New Roman" w:cs="Times New Roman"/>
              </w:rPr>
              <w:t>Soma Quadrado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1A8F">
              <w:rPr>
                <w:rFonts w:ascii="Times New Roman" w:hAnsi="Times New Roman" w:cs="Times New Roman"/>
              </w:rPr>
              <w:t>Quadrado médio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A8F">
              <w:rPr>
                <w:rFonts w:ascii="Times New Roman" w:hAnsi="Times New Roman" w:cs="Times New Roman"/>
              </w:rPr>
              <w:t>Fc</w:t>
            </w:r>
            <w:proofErr w:type="spellEnd"/>
          </w:p>
        </w:tc>
      </w:tr>
      <w:tr w:rsidR="00731A8F" w:rsidTr="00731A8F"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Regressão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A8F" w:rsidTr="00731A8F"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731A8F" w:rsidRPr="00731A8F" w:rsidRDefault="00CF6FA2" w:rsidP="00731A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Resíduo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31A8F" w:rsidTr="00731A8F"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8F" w:rsidRPr="00731A8F" w:rsidRDefault="00731A8F" w:rsidP="007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CF6FA2" w:rsidRDefault="00CF6FA2" w:rsidP="004C4418">
      <w:pPr>
        <w:jc w:val="center"/>
        <w:rPr>
          <w:rFonts w:eastAsiaTheme="minorEastAsia"/>
        </w:rPr>
      </w:pPr>
    </w:p>
    <w:p w:rsidR="00731A8F" w:rsidRDefault="001F2012" w:rsidP="004C4418">
      <w:pPr>
        <w:jc w:val="center"/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=QMResíduo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4C4418" w:rsidRPr="004C4418" w:rsidRDefault="004C4418">
      <w:pPr>
        <w:rPr>
          <w:rFonts w:ascii="Times New Roman" w:hAnsi="Times New Roman" w:cs="Times New Roman"/>
        </w:rPr>
      </w:pPr>
      <w:r w:rsidRPr="004C4418">
        <w:rPr>
          <w:rFonts w:ascii="Times New Roman" w:hAnsi="Times New Roman" w:cs="Times New Roman"/>
        </w:rPr>
        <w:t>Hipóteses</w:t>
      </w:r>
    </w:p>
    <w:p w:rsidR="004C4418" w:rsidRPr="00893B42" w:rsidRDefault="001F2012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="004C4418" w:rsidRPr="00893B42">
        <w:rPr>
          <w:rFonts w:eastAsiaTheme="minorEastAsia"/>
        </w:rPr>
        <w:t xml:space="preserve">  versus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≠0</m:t>
        </m:r>
      </m:oMath>
    </w:p>
    <w:p w:rsidR="004C4418" w:rsidRDefault="004C4418">
      <w:pPr>
        <w:rPr>
          <w:rFonts w:ascii="Times New Roman" w:eastAsiaTheme="minorEastAsia" w:hAnsi="Times New Roman" w:cs="Times New Roman"/>
        </w:rPr>
      </w:pPr>
      <w:r w:rsidRPr="004C4418">
        <w:rPr>
          <w:rFonts w:ascii="Times New Roman" w:eastAsiaTheme="minorEastAsia" w:hAnsi="Times New Roman" w:cs="Times New Roman"/>
        </w:rPr>
        <w:t>A estatística</w:t>
      </w:r>
      <w:r>
        <w:rPr>
          <w:rFonts w:ascii="Times New Roman" w:eastAsiaTheme="minorEastAsia" w:hAnsi="Times New Roman" w:cs="Times New Roman"/>
        </w:rPr>
        <w:t xml:space="preserve"> do teste F é dada por:</w:t>
      </w:r>
    </w:p>
    <w:p w:rsidR="004C4418" w:rsidRDefault="004C4418" w:rsidP="004C4418">
      <w:pPr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QMRegressão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QMResíduo</m:t>
              </m:r>
            </m:den>
          </m:f>
          <m:r>
            <w:rPr>
              <w:rFonts w:ascii="Cambria Math" w:eastAsiaTheme="minorEastAsia" w:hAnsi="Cambria Math" w:cs="Times New Roman"/>
            </w:rPr>
            <m:t>~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ϑ1,ϑ2</m:t>
              </m:r>
            </m:sub>
          </m:sSub>
        </m:oMath>
      </m:oMathPara>
    </w:p>
    <w:p w:rsidR="004C4418" w:rsidRPr="004C4418" w:rsidRDefault="004C4418" w:rsidP="004C441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em que: </w:t>
      </w:r>
      <m:oMath>
        <m:r>
          <w:rPr>
            <w:rFonts w:ascii="Cambria Math" w:eastAsiaTheme="minorEastAsia" w:hAnsi="Cambria Math" w:cs="Times New Roman"/>
          </w:rPr>
          <m:t>ϑ1</m:t>
        </m:r>
      </m:oMath>
      <w:r>
        <w:rPr>
          <w:rFonts w:ascii="Times New Roman" w:eastAsiaTheme="minorEastAsia" w:hAnsi="Times New Roman" w:cs="Times New Roman"/>
        </w:rPr>
        <w:t xml:space="preserve"> é o número de graus de liberdade do numerador; </w:t>
      </w:r>
      <m:oMath>
        <m:r>
          <w:rPr>
            <w:rFonts w:ascii="Cambria Math" w:eastAsiaTheme="minorEastAsia" w:hAnsi="Cambria Math" w:cs="Times New Roman"/>
          </w:rPr>
          <m:t>,ϑ2</m:t>
        </m:r>
      </m:oMath>
      <w:r>
        <w:rPr>
          <w:rFonts w:ascii="Times New Roman" w:eastAsiaTheme="minorEastAsia" w:hAnsi="Times New Roman" w:cs="Times New Roman"/>
        </w:rPr>
        <w:t xml:space="preserve"> é o número de graus de liberdade do denominado</w:t>
      </w:r>
      <w:r w:rsidR="00CF6FA2">
        <w:rPr>
          <w:rFonts w:ascii="Times New Roman" w:eastAsiaTheme="minorEastAsia" w:hAnsi="Times New Roman" w:cs="Times New Roman"/>
        </w:rPr>
        <w:t>r</w:t>
      </w:r>
      <w:r>
        <w:rPr>
          <w:rFonts w:ascii="Times New Roman" w:eastAsiaTheme="minorEastAsia" w:hAnsi="Times New Roman" w:cs="Times New Roman"/>
        </w:rPr>
        <w:t xml:space="preserve"> e </w:t>
      </w:r>
      <m:oMath>
        <m:r>
          <w:rPr>
            <w:rFonts w:ascii="Cambria Math" w:eastAsiaTheme="minorEastAsia" w:hAnsi="Cambria Math" w:cs="Times New Roman"/>
          </w:rPr>
          <m:t>γ</m:t>
        </m:r>
      </m:oMath>
      <w:r>
        <w:rPr>
          <w:rFonts w:ascii="Times New Roman" w:eastAsiaTheme="minorEastAsia" w:hAnsi="Times New Roman" w:cs="Times New Roman"/>
        </w:rPr>
        <w:t xml:space="preserve"> é o nível nominal de significância</w:t>
      </w:r>
      <w:r w:rsidR="00CF6FA2">
        <w:rPr>
          <w:rFonts w:ascii="Times New Roman" w:eastAsiaTheme="minorEastAsia" w:hAnsi="Times New Roman" w:cs="Times New Roman"/>
        </w:rPr>
        <w:t xml:space="preserve"> (</w:t>
      </w:r>
      <m:oMath>
        <m:r>
          <w:rPr>
            <w:rFonts w:ascii="Cambria Math" w:eastAsiaTheme="minorEastAsia" w:hAnsi="Cambria Math" w:cs="Times New Roman"/>
          </w:rPr>
          <m:t>γ=0,05</m:t>
        </m:r>
      </m:oMath>
      <w:r w:rsidR="00CF6FA2">
        <w:rPr>
          <w:rFonts w:ascii="Times New Roman" w:eastAsiaTheme="minorEastAsia" w:hAnsi="Times New Roman" w:cs="Times New Roman"/>
        </w:rPr>
        <w:t>)</w:t>
      </w:r>
    </w:p>
    <w:p w:rsidR="00731A8F" w:rsidRDefault="004C4418">
      <m:oMathPara>
        <m:oMath>
          <m:r>
            <w:rPr>
              <w:rFonts w:ascii="Cambria Math" w:eastAsiaTheme="minorEastAsia" w:hAnsi="Cambria Math" w:cs="Times New Roman"/>
            </w:rPr>
            <m:t xml:space="preserve">Fc=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/>
            <m:den/>
          </m:f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A4551A" w:rsidRDefault="001F2012" w:rsidP="00CF6FA2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ϑ1,ϑ2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:rsidR="004C4418" w:rsidRDefault="00CF6FA2" w:rsidP="004C441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Conclusão: </w:t>
      </w:r>
    </w:p>
    <w:sectPr w:rsidR="004C4418" w:rsidSect="00F65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C5C"/>
    <w:multiLevelType w:val="hybridMultilevel"/>
    <w:tmpl w:val="7BA62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391C"/>
    <w:multiLevelType w:val="hybridMultilevel"/>
    <w:tmpl w:val="8EC491E6"/>
    <w:lvl w:ilvl="0" w:tplc="8FECB4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B2A"/>
    <w:rsid w:val="000758E3"/>
    <w:rsid w:val="00101BEC"/>
    <w:rsid w:val="00131E37"/>
    <w:rsid w:val="0015218F"/>
    <w:rsid w:val="00171718"/>
    <w:rsid w:val="001E3F4E"/>
    <w:rsid w:val="001F2012"/>
    <w:rsid w:val="00390E5F"/>
    <w:rsid w:val="003B1E5C"/>
    <w:rsid w:val="004001DF"/>
    <w:rsid w:val="004C4418"/>
    <w:rsid w:val="00500F30"/>
    <w:rsid w:val="00573AA0"/>
    <w:rsid w:val="005A26FE"/>
    <w:rsid w:val="005C77ED"/>
    <w:rsid w:val="005D07DC"/>
    <w:rsid w:val="005F7C6D"/>
    <w:rsid w:val="00662011"/>
    <w:rsid w:val="006A4572"/>
    <w:rsid w:val="006E68A1"/>
    <w:rsid w:val="00713CE7"/>
    <w:rsid w:val="00731A8F"/>
    <w:rsid w:val="00806C3B"/>
    <w:rsid w:val="00893B42"/>
    <w:rsid w:val="008D025B"/>
    <w:rsid w:val="008D503F"/>
    <w:rsid w:val="00915000"/>
    <w:rsid w:val="009B021A"/>
    <w:rsid w:val="00A4551A"/>
    <w:rsid w:val="00A66148"/>
    <w:rsid w:val="00B3413A"/>
    <w:rsid w:val="00C152D0"/>
    <w:rsid w:val="00CB2B39"/>
    <w:rsid w:val="00CD6720"/>
    <w:rsid w:val="00CE6C75"/>
    <w:rsid w:val="00CF6FA2"/>
    <w:rsid w:val="00D34538"/>
    <w:rsid w:val="00F363BB"/>
    <w:rsid w:val="00F44165"/>
    <w:rsid w:val="00F534C1"/>
    <w:rsid w:val="00F65B2A"/>
    <w:rsid w:val="00F7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B2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4418"/>
    <w:rPr>
      <w:color w:val="808080"/>
    </w:rPr>
  </w:style>
  <w:style w:type="paragraph" w:styleId="PargrafodaLista">
    <w:name w:val="List Paragraph"/>
    <w:basedOn w:val="Normal"/>
    <w:uiPriority w:val="34"/>
    <w:qFormat/>
    <w:rsid w:val="0013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</dc:creator>
  <cp:lastModifiedBy>Taciana</cp:lastModifiedBy>
  <cp:revision>3</cp:revision>
  <cp:lastPrinted>2013-08-21T17:49:00Z</cp:lastPrinted>
  <dcterms:created xsi:type="dcterms:W3CDTF">2016-08-22T15:35:00Z</dcterms:created>
  <dcterms:modified xsi:type="dcterms:W3CDTF">2016-08-22T15:36:00Z</dcterms:modified>
</cp:coreProperties>
</file>