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C405A" w14:textId="0DEE4658" w:rsidR="002E470E" w:rsidRDefault="002E470E" w:rsidP="002E470E">
      <w:pPr>
        <w:spacing w:line="360" w:lineRule="auto"/>
        <w:jc w:val="both"/>
        <w:rPr>
          <w:b/>
          <w:sz w:val="24"/>
          <w:szCs w:val="24"/>
        </w:rPr>
      </w:pPr>
      <w:r w:rsidRPr="002E470E">
        <w:rPr>
          <w:b/>
          <w:sz w:val="24"/>
          <w:szCs w:val="24"/>
        </w:rPr>
        <w:t>NOME</w:t>
      </w:r>
      <w:r>
        <w:rPr>
          <w:b/>
          <w:sz w:val="24"/>
          <w:szCs w:val="24"/>
        </w:rPr>
        <w:t>: __________________________________________________________________</w:t>
      </w:r>
    </w:p>
    <w:p w14:paraId="7CC9A383" w14:textId="7988142D" w:rsidR="002E470E" w:rsidRPr="002E470E" w:rsidRDefault="002E470E" w:rsidP="002E470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N.USP: __________________________</w:t>
      </w:r>
    </w:p>
    <w:p w14:paraId="127A403E" w14:textId="747AFFA0" w:rsidR="002E470E" w:rsidRDefault="002E470E" w:rsidP="002E470E">
      <w:pPr>
        <w:spacing w:line="360" w:lineRule="auto"/>
        <w:jc w:val="both"/>
        <w:rPr>
          <w:b/>
          <w:sz w:val="24"/>
          <w:szCs w:val="24"/>
        </w:rPr>
      </w:pPr>
    </w:p>
    <w:p w14:paraId="1CBFC551" w14:textId="00B7A4B1" w:rsidR="000F5827" w:rsidRPr="000F5827" w:rsidRDefault="000F5827" w:rsidP="000F5827">
      <w:pPr>
        <w:spacing w:line="360" w:lineRule="auto"/>
        <w:jc w:val="center"/>
        <w:rPr>
          <w:b/>
          <w:sz w:val="32"/>
          <w:szCs w:val="24"/>
          <w:u w:val="single"/>
        </w:rPr>
      </w:pPr>
      <w:r w:rsidRPr="000F5827">
        <w:rPr>
          <w:b/>
          <w:sz w:val="32"/>
          <w:szCs w:val="24"/>
          <w:u w:val="single"/>
        </w:rPr>
        <w:t>Prova de recuperação</w:t>
      </w:r>
    </w:p>
    <w:p w14:paraId="718284B8" w14:textId="77777777" w:rsidR="00B02AED" w:rsidRDefault="00B02AED" w:rsidP="00B02AE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C2C1851" w14:textId="7C33FD1F" w:rsidR="002E470E" w:rsidRPr="00B02AED" w:rsidRDefault="00B02AED" w:rsidP="00B02AED">
      <w:pPr>
        <w:spacing w:line="360" w:lineRule="auto"/>
        <w:jc w:val="both"/>
        <w:rPr>
          <w:b/>
          <w:sz w:val="24"/>
          <w:szCs w:val="24"/>
        </w:rPr>
      </w:pPr>
      <w:r w:rsidRPr="00B02AED">
        <w:rPr>
          <w:b/>
          <w:sz w:val="24"/>
          <w:szCs w:val="24"/>
        </w:rPr>
        <w:t xml:space="preserve">1. (1.5 pontos) </w:t>
      </w:r>
      <w:r w:rsidRPr="00B02AED">
        <w:rPr>
          <w:sz w:val="24"/>
          <w:szCs w:val="24"/>
        </w:rPr>
        <w:t>Sinalize verdadeiro ou falso</w:t>
      </w:r>
    </w:p>
    <w:p w14:paraId="392D3E2D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  ) </w:t>
      </w:r>
      <w:r w:rsidRPr="00B02AED">
        <w:rPr>
          <w:sz w:val="24"/>
          <w:szCs w:val="24"/>
        </w:rPr>
        <w:tab/>
        <w:t>As 2 principais funções efetoras da imunidade inata são a indução da inflamação e a ação antiviral dos interferons de tipo I</w:t>
      </w:r>
    </w:p>
    <w:p w14:paraId="17B71A12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) </w:t>
      </w:r>
      <w:r w:rsidRPr="00B02AED">
        <w:rPr>
          <w:sz w:val="24"/>
          <w:szCs w:val="24"/>
        </w:rPr>
        <w:tab/>
        <w:t>Moléculas solúveis capazes de reconhecer padrão e moléculas efetoras são encontradas no plasma (p.ex. CRP e MBL). Elas interagem com ligantes microbianos e amplificam a resposta inata contra patógenos, diretamente ou ativando o sistema MHC.</w:t>
      </w:r>
    </w:p>
    <w:p w14:paraId="666FD038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) </w:t>
      </w:r>
      <w:r w:rsidRPr="00B02AED">
        <w:rPr>
          <w:sz w:val="24"/>
          <w:szCs w:val="24"/>
        </w:rPr>
        <w:tab/>
        <w:t>As funções efetoras da imunidade inata são induzidas por receptores altamente específicos que se encontram nos linfócitos T.</w:t>
      </w:r>
    </w:p>
    <w:p w14:paraId="6A93F093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 ) </w:t>
      </w:r>
      <w:r w:rsidRPr="00B02AED">
        <w:rPr>
          <w:sz w:val="24"/>
          <w:szCs w:val="24"/>
        </w:rPr>
        <w:tab/>
        <w:t>Neutrófilos e mastócitos migram do sangue para o sítio inflamatório durante as respostas imunes inatas.</w:t>
      </w:r>
    </w:p>
    <w:p w14:paraId="48811763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 ) </w:t>
      </w:r>
      <w:r w:rsidRPr="00B02AED">
        <w:rPr>
          <w:sz w:val="24"/>
          <w:szCs w:val="24"/>
        </w:rPr>
        <w:tab/>
        <w:t>As células NK produzem a citocina ativadora de macrófagos selectina-E.</w:t>
      </w:r>
    </w:p>
    <w:p w14:paraId="1B6AFE98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) </w:t>
      </w:r>
      <w:r w:rsidRPr="00B02AED">
        <w:rPr>
          <w:sz w:val="24"/>
          <w:szCs w:val="24"/>
        </w:rPr>
        <w:tab/>
        <w:t>Os fagócitos reconhecem e respondem a produtos microbianos por meio de diversos tipos de receptores, incluindo TLR, BCR e MHC.</w:t>
      </w:r>
    </w:p>
    <w:p w14:paraId="72B5C796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 ) </w:t>
      </w:r>
      <w:r w:rsidRPr="00B02AED">
        <w:rPr>
          <w:sz w:val="24"/>
          <w:szCs w:val="24"/>
        </w:rPr>
        <w:tab/>
        <w:t>As citocinas pró-inflamatórias TNF</w:t>
      </w:r>
      <w:r w:rsidRPr="00B02AED">
        <w:rPr>
          <w:sz w:val="24"/>
          <w:szCs w:val="24"/>
        </w:rPr>
        <w:sym w:font="Symbol" w:char="F061"/>
      </w:r>
      <w:r w:rsidRPr="00B02AED">
        <w:rPr>
          <w:sz w:val="24"/>
          <w:szCs w:val="24"/>
        </w:rPr>
        <w:t xml:space="preserve"> e IL-1β ativam as células endoteliais, estimulam a produção de quimiocinas e aumentam a hematopoese.</w:t>
      </w:r>
    </w:p>
    <w:p w14:paraId="42B6B270" w14:textId="7A4287A1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="00F4536F">
        <w:rPr>
          <w:b/>
          <w:color w:val="FF0000"/>
          <w:sz w:val="24"/>
          <w:szCs w:val="24"/>
        </w:rPr>
        <w:t>F</w:t>
      </w:r>
      <w:r w:rsidRPr="00B02AED">
        <w:rPr>
          <w:color w:val="FF0000"/>
          <w:sz w:val="24"/>
          <w:szCs w:val="24"/>
        </w:rPr>
        <w:t xml:space="preserve"> </w:t>
      </w:r>
      <w:r w:rsidRPr="00B02AED">
        <w:rPr>
          <w:sz w:val="24"/>
          <w:szCs w:val="24"/>
        </w:rPr>
        <w:t xml:space="preserve">) </w:t>
      </w:r>
      <w:r w:rsidRPr="00B02AED">
        <w:rPr>
          <w:sz w:val="24"/>
          <w:szCs w:val="24"/>
        </w:rPr>
        <w:tab/>
      </w:r>
      <w:r w:rsidR="00F4536F" w:rsidRPr="000F5827">
        <w:rPr>
          <w:sz w:val="24"/>
          <w:szCs w:val="24"/>
        </w:rPr>
        <w:t>Indivíduos com mutações no complexo da NADPH-oxidase apresentam fagócitos com uma produção aumentada de ROS.</w:t>
      </w:r>
    </w:p>
    <w:p w14:paraId="75E850B8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  ) </w:t>
      </w:r>
      <w:r w:rsidRPr="00B02AED">
        <w:rPr>
          <w:sz w:val="24"/>
          <w:szCs w:val="24"/>
        </w:rPr>
        <w:tab/>
        <w:t>As respostas imunes inatas são reguladas negativamente através de citocinas regulatórias, tais como IL-10.</w:t>
      </w:r>
    </w:p>
    <w:p w14:paraId="6C6DA178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 ) </w:t>
      </w:r>
      <w:r w:rsidRPr="00B02AED">
        <w:rPr>
          <w:sz w:val="24"/>
          <w:szCs w:val="24"/>
        </w:rPr>
        <w:tab/>
        <w:t>Células NK matam células do hospedeiro cuja expressão de MHC-I esteja aumentada.</w:t>
      </w:r>
    </w:p>
    <w:p w14:paraId="44D877E6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</w:p>
    <w:p w14:paraId="3F7C7D69" w14:textId="2B4810DB" w:rsidR="00B02AED" w:rsidRPr="00B02AED" w:rsidRDefault="00B17FA4" w:rsidP="00B02AED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B02AED" w:rsidRPr="00B02AED">
        <w:rPr>
          <w:b/>
          <w:sz w:val="24"/>
          <w:szCs w:val="24"/>
        </w:rPr>
        <w:t xml:space="preserve">. (1.5 pontos) </w:t>
      </w:r>
      <w:r w:rsidR="00B02AED" w:rsidRPr="00B02AED">
        <w:rPr>
          <w:sz w:val="24"/>
          <w:szCs w:val="24"/>
        </w:rPr>
        <w:t>Sinalize verdadeiro ou falso</w:t>
      </w:r>
    </w:p>
    <w:p w14:paraId="25E3EA3B" w14:textId="60BF4BB0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  ) </w:t>
      </w:r>
      <w:r w:rsidR="00B17FA4" w:rsidRPr="000F5827">
        <w:rPr>
          <w:sz w:val="24"/>
          <w:szCs w:val="24"/>
        </w:rPr>
        <w:t>em linfócitos B a tolerância central é induzida quando células B imaturas reconhecem antígenos próprios multivalentes na medula óssea</w:t>
      </w:r>
    </w:p>
    <w:p w14:paraId="339D9F0B" w14:textId="78E009FF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lastRenderedPageBreak/>
        <w:t xml:space="preserve">( </w:t>
      </w:r>
      <w:r w:rsidR="00B17FA4" w:rsidRPr="00B17FA4">
        <w:rPr>
          <w:b/>
          <w:color w:val="FF0000"/>
          <w:sz w:val="24"/>
          <w:szCs w:val="24"/>
        </w:rPr>
        <w:t>F</w:t>
      </w:r>
      <w:r w:rsidRPr="00B17FA4">
        <w:rPr>
          <w:b/>
          <w:color w:val="FF0000"/>
          <w:sz w:val="24"/>
          <w:szCs w:val="24"/>
        </w:rPr>
        <w:t xml:space="preserve"> </w:t>
      </w:r>
      <w:r w:rsidRPr="00B02AED">
        <w:rPr>
          <w:sz w:val="24"/>
          <w:szCs w:val="24"/>
        </w:rPr>
        <w:t xml:space="preserve">) a imunidade humoral no trato gastrointestinal </w:t>
      </w:r>
      <w:proofErr w:type="spellStart"/>
      <w:r w:rsidRPr="00B02AED">
        <w:rPr>
          <w:sz w:val="24"/>
          <w:szCs w:val="24"/>
        </w:rPr>
        <w:t>è</w:t>
      </w:r>
      <w:proofErr w:type="spellEnd"/>
      <w:r w:rsidRPr="00B02AED">
        <w:rPr>
          <w:sz w:val="24"/>
          <w:szCs w:val="24"/>
        </w:rPr>
        <w:t xml:space="preserve"> dominada pela secreção de IgG no </w:t>
      </w:r>
      <w:proofErr w:type="spellStart"/>
      <w:r w:rsidRPr="00B02AED">
        <w:rPr>
          <w:sz w:val="24"/>
          <w:szCs w:val="24"/>
        </w:rPr>
        <w:t>lumen</w:t>
      </w:r>
      <w:proofErr w:type="spellEnd"/>
      <w:r w:rsidRPr="00B02AED">
        <w:rPr>
          <w:sz w:val="24"/>
          <w:szCs w:val="24"/>
        </w:rPr>
        <w:t>, onde os anticorpos neutralizam os patógenos invasores</w:t>
      </w:r>
    </w:p>
    <w:p w14:paraId="40EB3905" w14:textId="45EC8043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color w:val="FF0000"/>
          <w:sz w:val="24"/>
          <w:szCs w:val="24"/>
        </w:rPr>
        <w:t xml:space="preserve"> </w:t>
      </w:r>
      <w:r w:rsidR="00B17FA4">
        <w:rPr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) </w:t>
      </w:r>
      <w:r w:rsidR="00B17FA4" w:rsidRPr="000F5827">
        <w:rPr>
          <w:sz w:val="24"/>
          <w:szCs w:val="24"/>
        </w:rPr>
        <w:t>as respostas imunes aos organismos comensais e antígenos alimentares no lúmen do trato gastrointestinal são minimizadas por vários mecanismos, incluindo apresentação de antígenos microbianos luminais pelas células dendríticas as quais são especializadas em induzir Treg</w:t>
      </w:r>
    </w:p>
    <w:p w14:paraId="1AF74E5C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 ) os linfócitos T CD4+ podem se diferenciar em Th17 que inibem a inflamação e a ativação  de neutrófilos </w:t>
      </w:r>
    </w:p>
    <w:p w14:paraId="1C85D539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 ) os anticorpos monoclonais </w:t>
      </w:r>
      <w:proofErr w:type="spellStart"/>
      <w:r w:rsidRPr="00B02AED">
        <w:rPr>
          <w:sz w:val="24"/>
          <w:szCs w:val="24"/>
        </w:rPr>
        <w:t>sao</w:t>
      </w:r>
      <w:proofErr w:type="spellEnd"/>
      <w:r w:rsidRPr="00B02AED">
        <w:rPr>
          <w:sz w:val="24"/>
          <w:szCs w:val="24"/>
        </w:rPr>
        <w:t xml:space="preserve"> produzidos por um único clone de linfócitos B e reconhecem vários determinantes antigênicos</w:t>
      </w:r>
    </w:p>
    <w:p w14:paraId="5551AF37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 xml:space="preserve">) a recirculação de linfócitos </w:t>
      </w:r>
      <w:proofErr w:type="spellStart"/>
      <w:r w:rsidRPr="00B02AED">
        <w:rPr>
          <w:sz w:val="24"/>
          <w:szCs w:val="24"/>
        </w:rPr>
        <w:t>è</w:t>
      </w:r>
      <w:proofErr w:type="spellEnd"/>
      <w:r w:rsidRPr="00B02AED">
        <w:rPr>
          <w:sz w:val="24"/>
          <w:szCs w:val="24"/>
        </w:rPr>
        <w:t xml:space="preserve"> o processo pelo qual os linfócitos virgens migram continuamente do sangue parta dentro dos órgãos linfoides secundários, de volta ao sangue pelos vasos linfáticos e para dentro de outros órgãos linfoides</w:t>
      </w:r>
    </w:p>
    <w:p w14:paraId="39BBC412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) a hipersensibilidade tardia ou de tipo IV </w:t>
      </w:r>
      <w:proofErr w:type="spellStart"/>
      <w:r w:rsidRPr="00B02AED">
        <w:rPr>
          <w:sz w:val="24"/>
          <w:szCs w:val="24"/>
        </w:rPr>
        <w:t>è</w:t>
      </w:r>
      <w:proofErr w:type="spellEnd"/>
      <w:r w:rsidRPr="00B02AED">
        <w:rPr>
          <w:sz w:val="24"/>
          <w:szCs w:val="24"/>
        </w:rPr>
        <w:t xml:space="preserve"> mediada por anticorpos IgA contra antígenos da matriz extracelular</w:t>
      </w:r>
    </w:p>
    <w:p w14:paraId="735DC060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 xml:space="preserve">( </w:t>
      </w:r>
      <w:r w:rsidRPr="00B02AED">
        <w:rPr>
          <w:b/>
          <w:color w:val="FF0000"/>
          <w:sz w:val="24"/>
          <w:szCs w:val="24"/>
        </w:rPr>
        <w:t>F</w:t>
      </w:r>
      <w:r w:rsidRPr="00B02AED">
        <w:rPr>
          <w:sz w:val="24"/>
          <w:szCs w:val="24"/>
        </w:rPr>
        <w:t xml:space="preserve"> ) na deficiência de RAG1 ou RAG2 observa-se a ausência ou deficiência de linfócitos NK</w:t>
      </w:r>
    </w:p>
    <w:p w14:paraId="6EAA1AE8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b/>
          <w:color w:val="FF0000"/>
          <w:sz w:val="24"/>
          <w:szCs w:val="24"/>
        </w:rPr>
        <w:t>( F</w:t>
      </w:r>
      <w:r w:rsidRPr="00B02AED">
        <w:rPr>
          <w:sz w:val="24"/>
          <w:szCs w:val="24"/>
        </w:rPr>
        <w:t xml:space="preserve"> ) a infecção pelo HIV-1 leva a imunodeficiência secundaria por depleção de células T CD8+</w:t>
      </w:r>
    </w:p>
    <w:p w14:paraId="0ED73630" w14:textId="77777777" w:rsidR="00B02AED" w:rsidRPr="00B02AED" w:rsidRDefault="00B02AED" w:rsidP="00B02AED">
      <w:pPr>
        <w:spacing w:line="360" w:lineRule="auto"/>
        <w:jc w:val="both"/>
        <w:rPr>
          <w:sz w:val="24"/>
          <w:szCs w:val="24"/>
        </w:rPr>
      </w:pPr>
      <w:r w:rsidRPr="00B02AED">
        <w:rPr>
          <w:sz w:val="24"/>
          <w:szCs w:val="24"/>
        </w:rPr>
        <w:t>(</w:t>
      </w:r>
      <w:r w:rsidRPr="00B02AED">
        <w:rPr>
          <w:b/>
          <w:color w:val="FF0000"/>
          <w:sz w:val="24"/>
          <w:szCs w:val="24"/>
        </w:rPr>
        <w:t>V</w:t>
      </w:r>
      <w:r w:rsidRPr="00B02AED">
        <w:rPr>
          <w:sz w:val="24"/>
          <w:szCs w:val="24"/>
        </w:rPr>
        <w:t>) a resposta imunológica capaz de destruir células tumorais consiste em linfócitos citotóxicos, NK e macrófagos ativados</w:t>
      </w:r>
    </w:p>
    <w:p w14:paraId="530B4590" w14:textId="77777777" w:rsidR="00B02AED" w:rsidRDefault="00B02AED" w:rsidP="002E470E">
      <w:pPr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14:paraId="0B9A8A59" w14:textId="30E851C4" w:rsidR="002E470E" w:rsidRDefault="00424329" w:rsidP="002E470E">
      <w:pPr>
        <w:spacing w:line="360" w:lineRule="auto"/>
        <w:jc w:val="both"/>
        <w:rPr>
          <w:b/>
          <w:sz w:val="24"/>
          <w:szCs w:val="24"/>
        </w:rPr>
      </w:pPr>
      <w:r w:rsidRPr="00424329">
        <w:rPr>
          <w:color w:val="000000" w:themeColor="text1"/>
          <w:sz w:val="24"/>
          <w:szCs w:val="24"/>
        </w:rPr>
        <w:t>3</w:t>
      </w:r>
      <w:r w:rsidR="002E470E" w:rsidRPr="00424329">
        <w:rPr>
          <w:b/>
          <w:color w:val="000000" w:themeColor="text1"/>
          <w:sz w:val="24"/>
          <w:szCs w:val="24"/>
        </w:rPr>
        <w:t xml:space="preserve">. (1 ponto) </w:t>
      </w:r>
      <w:proofErr w:type="spellStart"/>
      <w:r>
        <w:rPr>
          <w:b/>
          <w:color w:val="000000" w:themeColor="text1"/>
          <w:sz w:val="24"/>
          <w:szCs w:val="24"/>
        </w:rPr>
        <w:t>Recem-nascidos</w:t>
      </w:r>
      <w:proofErr w:type="spellEnd"/>
      <w:r w:rsidR="00325F9D" w:rsidRPr="00424329">
        <w:rPr>
          <w:b/>
          <w:color w:val="000000" w:themeColor="text1"/>
          <w:sz w:val="24"/>
          <w:szCs w:val="24"/>
        </w:rPr>
        <w:t xml:space="preserve"> com mutação no</w:t>
      </w:r>
      <w:r w:rsidR="003A307B">
        <w:rPr>
          <w:b/>
          <w:color w:val="000000" w:themeColor="text1"/>
          <w:sz w:val="24"/>
          <w:szCs w:val="24"/>
        </w:rPr>
        <w:t>s</w:t>
      </w:r>
      <w:r w:rsidR="00325F9D" w:rsidRPr="00424329">
        <w:rPr>
          <w:b/>
          <w:color w:val="000000" w:themeColor="text1"/>
          <w:sz w:val="24"/>
          <w:szCs w:val="24"/>
        </w:rPr>
        <w:t xml:space="preserve"> gene</w:t>
      </w:r>
      <w:r w:rsidR="003A307B">
        <w:rPr>
          <w:b/>
          <w:color w:val="000000" w:themeColor="text1"/>
          <w:sz w:val="24"/>
          <w:szCs w:val="24"/>
        </w:rPr>
        <w:t>s</w:t>
      </w:r>
      <w:r w:rsidR="00325F9D" w:rsidRPr="00424329">
        <w:rPr>
          <w:b/>
          <w:color w:val="000000" w:themeColor="text1"/>
          <w:sz w:val="24"/>
          <w:szCs w:val="24"/>
        </w:rPr>
        <w:t xml:space="preserve"> </w:t>
      </w:r>
      <w:r w:rsidRPr="003A307B">
        <w:rPr>
          <w:b/>
          <w:i/>
          <w:color w:val="000000" w:themeColor="text1"/>
          <w:sz w:val="24"/>
          <w:szCs w:val="24"/>
        </w:rPr>
        <w:t>RAG</w:t>
      </w:r>
      <w:r w:rsidR="003A307B" w:rsidRPr="003A307B">
        <w:rPr>
          <w:b/>
          <w:i/>
          <w:color w:val="000000" w:themeColor="text1"/>
          <w:sz w:val="24"/>
          <w:szCs w:val="24"/>
        </w:rPr>
        <w:t xml:space="preserve">1 </w:t>
      </w:r>
      <w:r w:rsidR="003A307B">
        <w:rPr>
          <w:b/>
          <w:color w:val="000000" w:themeColor="text1"/>
          <w:sz w:val="24"/>
          <w:szCs w:val="24"/>
        </w:rPr>
        <w:t xml:space="preserve">ou </w:t>
      </w:r>
      <w:r w:rsidR="003A307B" w:rsidRPr="003A307B">
        <w:rPr>
          <w:b/>
          <w:i/>
          <w:color w:val="000000" w:themeColor="text1"/>
          <w:sz w:val="24"/>
          <w:szCs w:val="24"/>
        </w:rPr>
        <w:t>RAG2</w:t>
      </w:r>
      <w:r w:rsidR="002E470E" w:rsidRPr="00424329">
        <w:rPr>
          <w:b/>
          <w:color w:val="000000" w:themeColor="text1"/>
          <w:sz w:val="24"/>
          <w:szCs w:val="24"/>
        </w:rPr>
        <w:t xml:space="preserve"> apresentam </w:t>
      </w:r>
      <w:r w:rsidR="002E470E" w:rsidRPr="002E470E">
        <w:rPr>
          <w:b/>
          <w:sz w:val="24"/>
          <w:szCs w:val="24"/>
        </w:rPr>
        <w:t>infecções recorrentes</w:t>
      </w:r>
      <w:r>
        <w:rPr>
          <w:b/>
          <w:sz w:val="24"/>
          <w:szCs w:val="24"/>
        </w:rPr>
        <w:t xml:space="preserve"> e se não tratados morrem nos primeiros anos de vida</w:t>
      </w:r>
      <w:r w:rsidR="002E470E" w:rsidRPr="002E470E">
        <w:rPr>
          <w:b/>
          <w:sz w:val="24"/>
          <w:szCs w:val="24"/>
        </w:rPr>
        <w:t>. Explique esta afirmação.</w:t>
      </w:r>
    </w:p>
    <w:p w14:paraId="1B7D50E5" w14:textId="7699115C" w:rsidR="003A307B" w:rsidRPr="003A307B" w:rsidRDefault="003A307B" w:rsidP="002E470E">
      <w:pPr>
        <w:spacing w:line="360" w:lineRule="auto"/>
        <w:jc w:val="both"/>
        <w:rPr>
          <w:color w:val="FF0000"/>
          <w:sz w:val="24"/>
          <w:szCs w:val="24"/>
        </w:rPr>
      </w:pPr>
      <w:r w:rsidRPr="003A307B">
        <w:rPr>
          <w:color w:val="FF0000"/>
          <w:sz w:val="24"/>
          <w:szCs w:val="24"/>
        </w:rPr>
        <w:t xml:space="preserve">Rag-1 e Rag-2 são </w:t>
      </w:r>
      <w:r>
        <w:rPr>
          <w:color w:val="FF0000"/>
          <w:sz w:val="24"/>
          <w:szCs w:val="24"/>
        </w:rPr>
        <w:t>as proteínas</w:t>
      </w:r>
      <w:r w:rsidRPr="003A307B">
        <w:rPr>
          <w:color w:val="FF0000"/>
          <w:sz w:val="24"/>
          <w:szCs w:val="24"/>
        </w:rPr>
        <w:t xml:space="preserve"> responsáveis</w:t>
      </w:r>
      <w:r>
        <w:rPr>
          <w:color w:val="FF0000"/>
          <w:sz w:val="24"/>
          <w:szCs w:val="24"/>
        </w:rPr>
        <w:t xml:space="preserve"> pela catalise da recombinação somática dos genes das Imunoglobulinas, TCR e BCR.</w:t>
      </w:r>
      <w:r w:rsidRPr="003A307B">
        <w:rPr>
          <w:color w:val="FF0000"/>
          <w:sz w:val="24"/>
          <w:szCs w:val="24"/>
        </w:rPr>
        <w:t xml:space="preserve"> Mutações nos genes para essas proteínas </w:t>
      </w:r>
      <w:r>
        <w:rPr>
          <w:color w:val="FF0000"/>
          <w:sz w:val="24"/>
          <w:szCs w:val="24"/>
        </w:rPr>
        <w:t xml:space="preserve">afetam a produção dos receptores para antígenos dos linfócitos T e B interferindo com o desenvolvimento deles. </w:t>
      </w:r>
      <w:proofErr w:type="spellStart"/>
      <w:r>
        <w:rPr>
          <w:color w:val="FF0000"/>
          <w:sz w:val="24"/>
          <w:szCs w:val="24"/>
        </w:rPr>
        <w:t>Mutaçoes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gramStart"/>
      <w:r>
        <w:rPr>
          <w:color w:val="FF0000"/>
          <w:sz w:val="24"/>
          <w:szCs w:val="24"/>
        </w:rPr>
        <w:t>nesses genes</w:t>
      </w:r>
      <w:proofErr w:type="gramEnd"/>
      <w:r>
        <w:rPr>
          <w:color w:val="FF0000"/>
          <w:sz w:val="24"/>
          <w:szCs w:val="24"/>
        </w:rPr>
        <w:t xml:space="preserve"> portanto levam a ausência de linfócitos </w:t>
      </w:r>
      <w:r>
        <w:rPr>
          <w:color w:val="FF0000"/>
          <w:sz w:val="24"/>
          <w:szCs w:val="24"/>
        </w:rPr>
        <w:lastRenderedPageBreak/>
        <w:t xml:space="preserve">maduros e </w:t>
      </w:r>
      <w:r w:rsidRPr="003A307B">
        <w:rPr>
          <w:color w:val="FF0000"/>
          <w:sz w:val="24"/>
          <w:szCs w:val="24"/>
        </w:rPr>
        <w:t>resultam em uma severa doença, a Imunodeficiência Combinada Grave (ambos os tipos de células T e B são deficientes).</w:t>
      </w:r>
    </w:p>
    <w:p w14:paraId="7A1709EF" w14:textId="77777777" w:rsidR="00325F9D" w:rsidRDefault="00325F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2DFFFB8" w14:textId="07A9044F" w:rsidR="00325F9D" w:rsidRPr="00325F9D" w:rsidRDefault="00325F9D" w:rsidP="002E470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(2</w:t>
      </w:r>
      <w:r w:rsidR="002E470E" w:rsidRPr="00BE1CB2">
        <w:rPr>
          <w:b/>
          <w:sz w:val="24"/>
          <w:szCs w:val="24"/>
        </w:rPr>
        <w:t xml:space="preserve"> ponto</w:t>
      </w:r>
      <w:r>
        <w:rPr>
          <w:b/>
          <w:sz w:val="24"/>
          <w:szCs w:val="24"/>
        </w:rPr>
        <w:t>s</w:t>
      </w:r>
      <w:r w:rsidR="002E470E" w:rsidRPr="00BE1CB2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 xml:space="preserve">Descrever o sistema complemento, a sua </w:t>
      </w:r>
      <w:proofErr w:type="spellStart"/>
      <w:r>
        <w:rPr>
          <w:b/>
          <w:sz w:val="24"/>
          <w:szCs w:val="24"/>
        </w:rPr>
        <w:t>ativaçao</w:t>
      </w:r>
      <w:proofErr w:type="spellEnd"/>
      <w:r>
        <w:rPr>
          <w:b/>
          <w:sz w:val="24"/>
          <w:szCs w:val="24"/>
        </w:rPr>
        <w:t>, as suas funções e como interage com os outros componentes humorais e celulares da imunidade inata.</w:t>
      </w:r>
    </w:p>
    <w:p w14:paraId="0BAF11B8" w14:textId="7CC97369" w:rsidR="002E470E" w:rsidRDefault="003A307B" w:rsidP="002E470E">
      <w:pPr>
        <w:spacing w:line="360" w:lineRule="auto"/>
        <w:jc w:val="both"/>
        <w:rPr>
          <w:color w:val="FF0000"/>
          <w:sz w:val="24"/>
          <w:szCs w:val="24"/>
        </w:rPr>
      </w:pPr>
      <w:r w:rsidRPr="003A307B">
        <w:rPr>
          <w:color w:val="FF0000"/>
          <w:sz w:val="24"/>
          <w:szCs w:val="24"/>
        </w:rPr>
        <w:t xml:space="preserve">O sistema complemento é composto por proteínas solúveis </w:t>
      </w:r>
      <w:r w:rsidR="00FB63FC">
        <w:rPr>
          <w:color w:val="FF0000"/>
          <w:sz w:val="24"/>
          <w:szCs w:val="24"/>
        </w:rPr>
        <w:t xml:space="preserve">(denominadas C1-C9) </w:t>
      </w:r>
      <w:r w:rsidRPr="003A307B">
        <w:rPr>
          <w:color w:val="FF0000"/>
          <w:sz w:val="24"/>
          <w:szCs w:val="24"/>
        </w:rPr>
        <w:t>no sangue,</w:t>
      </w:r>
      <w:r>
        <w:rPr>
          <w:color w:val="FF0000"/>
          <w:sz w:val="24"/>
          <w:szCs w:val="24"/>
        </w:rPr>
        <w:t xml:space="preserve"> que em resposta a ativação por patógenos </w:t>
      </w:r>
      <w:r w:rsidRPr="003A307B">
        <w:rPr>
          <w:color w:val="FF0000"/>
          <w:sz w:val="24"/>
          <w:szCs w:val="24"/>
        </w:rPr>
        <w:t xml:space="preserve">reagem entre si </w:t>
      </w:r>
      <w:r w:rsidR="00FB63FC">
        <w:rPr>
          <w:color w:val="FF0000"/>
          <w:sz w:val="24"/>
          <w:szCs w:val="24"/>
        </w:rPr>
        <w:t xml:space="preserve">numa cascada proteolítica que tem como função a remoção do patógeno da circulação sanguínea. Ele pode ser ativado por 3 vias: </w:t>
      </w:r>
    </w:p>
    <w:p w14:paraId="38B576D3" w14:textId="48013D0D" w:rsidR="00FB63FC" w:rsidRDefault="00FB63FC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spellStart"/>
      <w:proofErr w:type="gramStart"/>
      <w:r>
        <w:rPr>
          <w:color w:val="FF0000"/>
          <w:sz w:val="24"/>
          <w:szCs w:val="24"/>
        </w:rPr>
        <w:t>atraves</w:t>
      </w:r>
      <w:proofErr w:type="spellEnd"/>
      <w:proofErr w:type="gramEnd"/>
      <w:r>
        <w:rPr>
          <w:color w:val="FF0000"/>
          <w:sz w:val="24"/>
          <w:szCs w:val="24"/>
        </w:rPr>
        <w:t xml:space="preserve"> da ligação de receptores solúveis de </w:t>
      </w:r>
      <w:proofErr w:type="spellStart"/>
      <w:r>
        <w:rPr>
          <w:color w:val="FF0000"/>
          <w:sz w:val="24"/>
          <w:szCs w:val="24"/>
        </w:rPr>
        <w:t>lectinas</w:t>
      </w:r>
      <w:proofErr w:type="spellEnd"/>
      <w:r>
        <w:rPr>
          <w:color w:val="FF0000"/>
          <w:sz w:val="24"/>
          <w:szCs w:val="24"/>
        </w:rPr>
        <w:t xml:space="preserve"> a superfície do </w:t>
      </w:r>
      <w:proofErr w:type="spellStart"/>
      <w:r>
        <w:rPr>
          <w:color w:val="FF0000"/>
          <w:sz w:val="24"/>
          <w:szCs w:val="24"/>
        </w:rPr>
        <w:t>microorganismo</w:t>
      </w:r>
      <w:proofErr w:type="spellEnd"/>
      <w:r>
        <w:rPr>
          <w:color w:val="FF0000"/>
          <w:sz w:val="24"/>
          <w:szCs w:val="24"/>
        </w:rPr>
        <w:t xml:space="preserve">, por exemplo a proteína MBL que reconhece o </w:t>
      </w:r>
      <w:proofErr w:type="spellStart"/>
      <w:r>
        <w:rPr>
          <w:color w:val="FF0000"/>
          <w:sz w:val="24"/>
          <w:szCs w:val="24"/>
        </w:rPr>
        <w:t>manose</w:t>
      </w:r>
      <w:proofErr w:type="spellEnd"/>
      <w:r>
        <w:rPr>
          <w:color w:val="FF0000"/>
          <w:sz w:val="24"/>
          <w:szCs w:val="24"/>
        </w:rPr>
        <w:t xml:space="preserve"> (via </w:t>
      </w:r>
      <w:proofErr w:type="spellStart"/>
      <w:r>
        <w:rPr>
          <w:color w:val="FF0000"/>
          <w:sz w:val="24"/>
          <w:szCs w:val="24"/>
        </w:rPr>
        <w:t>lectinica</w:t>
      </w:r>
      <w:proofErr w:type="spellEnd"/>
      <w:r>
        <w:rPr>
          <w:color w:val="FF0000"/>
          <w:sz w:val="24"/>
          <w:szCs w:val="24"/>
        </w:rPr>
        <w:t>)</w:t>
      </w:r>
    </w:p>
    <w:p w14:paraId="19011D3D" w14:textId="61B0BB64" w:rsidR="00FB63FC" w:rsidRDefault="00FB63FC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spellStart"/>
      <w:proofErr w:type="gramStart"/>
      <w:r>
        <w:rPr>
          <w:color w:val="FF0000"/>
          <w:sz w:val="24"/>
          <w:szCs w:val="24"/>
        </w:rPr>
        <w:t>atraves</w:t>
      </w:r>
      <w:proofErr w:type="spellEnd"/>
      <w:proofErr w:type="gramEnd"/>
      <w:r>
        <w:rPr>
          <w:color w:val="FF0000"/>
          <w:sz w:val="24"/>
          <w:szCs w:val="24"/>
        </w:rPr>
        <w:t xml:space="preserve"> da </w:t>
      </w:r>
      <w:proofErr w:type="spellStart"/>
      <w:r>
        <w:rPr>
          <w:color w:val="FF0000"/>
          <w:sz w:val="24"/>
          <w:szCs w:val="24"/>
        </w:rPr>
        <w:t>idrolise</w:t>
      </w:r>
      <w:proofErr w:type="spellEnd"/>
      <w:r>
        <w:rPr>
          <w:color w:val="FF0000"/>
          <w:sz w:val="24"/>
          <w:szCs w:val="24"/>
        </w:rPr>
        <w:t xml:space="preserve"> da proteína C3 na superfície do microrganismo (via alternativa)</w:t>
      </w:r>
    </w:p>
    <w:p w14:paraId="5411DF77" w14:textId="0AA5E727" w:rsidR="00FB63FC" w:rsidRDefault="00FB63FC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spellStart"/>
      <w:proofErr w:type="gramStart"/>
      <w:r>
        <w:rPr>
          <w:color w:val="FF0000"/>
          <w:sz w:val="24"/>
          <w:szCs w:val="24"/>
        </w:rPr>
        <w:t>atraves</w:t>
      </w:r>
      <w:proofErr w:type="spellEnd"/>
      <w:proofErr w:type="gramEnd"/>
      <w:r>
        <w:rPr>
          <w:color w:val="FF0000"/>
          <w:sz w:val="24"/>
          <w:szCs w:val="24"/>
        </w:rPr>
        <w:t xml:space="preserve"> da ligação da proteína C1q ao complexo anticorpo/antígeno (via clássica)</w:t>
      </w:r>
    </w:p>
    <w:p w14:paraId="232BD515" w14:textId="4950CF3B" w:rsidR="00591CDF" w:rsidRDefault="00FB63FC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As 3 vias levam a clivagem da proteína C3, com formação das moléculas C3a e C3b. C3b em conjunto com outras proteínas do sistema (C2a e C4b, ou </w:t>
      </w:r>
      <w:proofErr w:type="spellStart"/>
      <w:r>
        <w:rPr>
          <w:color w:val="FF0000"/>
          <w:sz w:val="24"/>
          <w:szCs w:val="24"/>
        </w:rPr>
        <w:t>Bb</w:t>
      </w:r>
      <w:proofErr w:type="spellEnd"/>
      <w:r>
        <w:rPr>
          <w:color w:val="FF0000"/>
          <w:sz w:val="24"/>
          <w:szCs w:val="24"/>
        </w:rPr>
        <w:t>) forma a C5-convertase que promove a clivagem da C5 em C5a e C5b. C3a e C5a são mediadores inflamatórios e induzem o recrutamento</w:t>
      </w:r>
      <w:r w:rsidR="00591CDF">
        <w:rPr>
          <w:color w:val="FF0000"/>
          <w:sz w:val="24"/>
          <w:szCs w:val="24"/>
        </w:rPr>
        <w:t xml:space="preserve"> (quimiotaxia)</w:t>
      </w:r>
      <w:r>
        <w:rPr>
          <w:color w:val="FF0000"/>
          <w:sz w:val="24"/>
          <w:szCs w:val="24"/>
        </w:rPr>
        <w:t xml:space="preserve"> e a ativação de leucócitos (principalmente neutrófilos e monócitos). C5b em conjunto com as moléculas C6-C9 monta um poro na membrana lipídica do </w:t>
      </w:r>
      <w:proofErr w:type="spellStart"/>
      <w:r>
        <w:rPr>
          <w:color w:val="FF0000"/>
          <w:sz w:val="24"/>
          <w:szCs w:val="24"/>
        </w:rPr>
        <w:t>microorganismo</w:t>
      </w:r>
      <w:proofErr w:type="spellEnd"/>
      <w:r>
        <w:rPr>
          <w:color w:val="FF0000"/>
          <w:sz w:val="24"/>
          <w:szCs w:val="24"/>
        </w:rPr>
        <w:t xml:space="preserve"> levando a lise do patógeno.</w:t>
      </w:r>
    </w:p>
    <w:p w14:paraId="387B8E27" w14:textId="77777777" w:rsidR="00591CDF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 lise direta do patógeno é uma das funções principais do sistema, as outras são:</w:t>
      </w:r>
    </w:p>
    <w:p w14:paraId="2CB503CF" w14:textId="5F4DEB22" w:rsidR="00591CDF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gramStart"/>
      <w:r>
        <w:rPr>
          <w:color w:val="FF0000"/>
          <w:sz w:val="24"/>
          <w:szCs w:val="24"/>
        </w:rPr>
        <w:t>osponizaçao</w:t>
      </w:r>
      <w:proofErr w:type="gramEnd"/>
      <w:r>
        <w:rPr>
          <w:color w:val="FF0000"/>
          <w:sz w:val="24"/>
          <w:szCs w:val="24"/>
        </w:rPr>
        <w:t xml:space="preserve"> e auxilio na fagocitose do patógeno (mediada por C3b)</w:t>
      </w:r>
    </w:p>
    <w:p w14:paraId="11ACF0CA" w14:textId="77777777" w:rsidR="00591CDF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gramStart"/>
      <w:r>
        <w:rPr>
          <w:color w:val="FF0000"/>
          <w:sz w:val="24"/>
          <w:szCs w:val="24"/>
        </w:rPr>
        <w:t>indução</w:t>
      </w:r>
      <w:proofErr w:type="gramEnd"/>
      <w:r>
        <w:rPr>
          <w:color w:val="FF0000"/>
          <w:sz w:val="24"/>
          <w:szCs w:val="24"/>
        </w:rPr>
        <w:t xml:space="preserve"> da inflamação (mediada por C3a e C5a)</w:t>
      </w:r>
    </w:p>
    <w:p w14:paraId="11D3EFDF" w14:textId="1F14C7A0" w:rsidR="00FB63FC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gramStart"/>
      <w:r>
        <w:rPr>
          <w:color w:val="FF0000"/>
          <w:sz w:val="24"/>
          <w:szCs w:val="24"/>
        </w:rPr>
        <w:t>eliminação</w:t>
      </w:r>
      <w:proofErr w:type="gramEnd"/>
      <w:r>
        <w:rPr>
          <w:color w:val="FF0000"/>
          <w:sz w:val="24"/>
          <w:szCs w:val="24"/>
        </w:rPr>
        <w:t xml:space="preserve"> dos complexos antígeno/anticorpo</w:t>
      </w:r>
    </w:p>
    <w:p w14:paraId="7B3B0D6D" w14:textId="59BA841A" w:rsidR="00591CDF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gramStart"/>
      <w:r>
        <w:rPr>
          <w:color w:val="FF0000"/>
          <w:sz w:val="24"/>
          <w:szCs w:val="24"/>
        </w:rPr>
        <w:t>neutralização</w:t>
      </w:r>
      <w:proofErr w:type="gramEnd"/>
      <w:r>
        <w:rPr>
          <w:color w:val="FF0000"/>
          <w:sz w:val="24"/>
          <w:szCs w:val="24"/>
        </w:rPr>
        <w:t xml:space="preserve"> </w:t>
      </w:r>
    </w:p>
    <w:p w14:paraId="4AA563D9" w14:textId="15CFA97E" w:rsidR="00BE1CB2" w:rsidRDefault="00591CDF" w:rsidP="002E470E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 sistema interage com os fagócitos (como opsonina e como mediador inflamatório) e em geral ativando a imunidade celular, e com os anticorpos (via clássica)</w:t>
      </w:r>
    </w:p>
    <w:p w14:paraId="32521A43" w14:textId="12C639EF" w:rsidR="00325F9D" w:rsidRDefault="00325F9D" w:rsidP="002E470E">
      <w:pPr>
        <w:spacing w:line="360" w:lineRule="auto"/>
        <w:jc w:val="both"/>
        <w:rPr>
          <w:color w:val="FF0000"/>
          <w:sz w:val="24"/>
          <w:szCs w:val="24"/>
        </w:rPr>
      </w:pPr>
    </w:p>
    <w:p w14:paraId="59A94523" w14:textId="4DCE3C36" w:rsidR="00325F9D" w:rsidRPr="00424329" w:rsidRDefault="00325F9D" w:rsidP="002E470E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52C03DE3" w14:textId="3BF830B3" w:rsidR="00B02AED" w:rsidRPr="00B02AED" w:rsidRDefault="00B02AED" w:rsidP="00B02AED">
      <w:pPr>
        <w:spacing w:line="360" w:lineRule="auto"/>
        <w:jc w:val="both"/>
        <w:rPr>
          <w:sz w:val="24"/>
          <w:szCs w:val="22"/>
        </w:rPr>
      </w:pPr>
      <w:r>
        <w:rPr>
          <w:b/>
          <w:sz w:val="24"/>
          <w:szCs w:val="22"/>
        </w:rPr>
        <w:t>5</w:t>
      </w:r>
      <w:r w:rsidRPr="00B02AED">
        <w:rPr>
          <w:b/>
          <w:sz w:val="24"/>
          <w:szCs w:val="22"/>
        </w:rPr>
        <w:t xml:space="preserve">. (4 pontos) </w:t>
      </w:r>
      <w:r w:rsidRPr="00B02AED">
        <w:rPr>
          <w:sz w:val="24"/>
          <w:szCs w:val="22"/>
        </w:rPr>
        <w:t xml:space="preserve">O vírus da influenza entra em contato com o nosso organismo. </w:t>
      </w:r>
    </w:p>
    <w:p w14:paraId="34131431" w14:textId="77777777" w:rsidR="00B02AED" w:rsidRPr="00B02AED" w:rsidRDefault="00B02AED" w:rsidP="00B02AED">
      <w:pPr>
        <w:spacing w:line="360" w:lineRule="auto"/>
        <w:jc w:val="both"/>
        <w:rPr>
          <w:sz w:val="24"/>
          <w:szCs w:val="22"/>
        </w:rPr>
      </w:pPr>
      <w:r w:rsidRPr="00B02AED">
        <w:rPr>
          <w:sz w:val="24"/>
          <w:szCs w:val="22"/>
        </w:rPr>
        <w:t>a. Quais células e receptores da imunidade inata entram em ação e como?</w:t>
      </w:r>
    </w:p>
    <w:p w14:paraId="5AFA76C3" w14:textId="77777777" w:rsidR="00B02AED" w:rsidRPr="00B02AED" w:rsidRDefault="00B02AED" w:rsidP="00B02AED">
      <w:pPr>
        <w:spacing w:line="360" w:lineRule="auto"/>
        <w:jc w:val="both"/>
        <w:rPr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t xml:space="preserve">Receptores intracelulares de tipo TLR e NLR, RIG que reconhecem proteínas ou acido nucleico viral e sinalizam induzindo a produção de IFN de tipo I. O IFN-I atua estabelecendo um estado antiviral na própria célula infectada e </w:t>
      </w:r>
      <w:proofErr w:type="spellStart"/>
      <w:r w:rsidRPr="00B02AED">
        <w:rPr>
          <w:color w:val="FF0000"/>
          <w:sz w:val="24"/>
          <w:szCs w:val="22"/>
        </w:rPr>
        <w:t>tbm</w:t>
      </w:r>
      <w:proofErr w:type="spellEnd"/>
      <w:r w:rsidRPr="00B02AED">
        <w:rPr>
          <w:color w:val="FF0000"/>
          <w:sz w:val="24"/>
          <w:szCs w:val="22"/>
        </w:rPr>
        <w:t xml:space="preserve"> nas células vizinhas. </w:t>
      </w:r>
    </w:p>
    <w:p w14:paraId="55AB044F" w14:textId="77777777" w:rsidR="00B02AED" w:rsidRPr="00B02AED" w:rsidRDefault="00B02AED" w:rsidP="00B02AED">
      <w:pPr>
        <w:spacing w:line="360" w:lineRule="auto"/>
        <w:jc w:val="both"/>
        <w:rPr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lastRenderedPageBreak/>
        <w:t xml:space="preserve">As células NK reconhecem células infectadas por vírus e podem elimina-las através da secreção de proteínas </w:t>
      </w:r>
      <w:proofErr w:type="spellStart"/>
      <w:r w:rsidRPr="00B02AED">
        <w:rPr>
          <w:color w:val="FF0000"/>
          <w:sz w:val="24"/>
          <w:szCs w:val="22"/>
        </w:rPr>
        <w:t>citoliticas</w:t>
      </w:r>
      <w:proofErr w:type="spellEnd"/>
      <w:r w:rsidRPr="00B02AED">
        <w:rPr>
          <w:color w:val="FF0000"/>
          <w:sz w:val="24"/>
          <w:szCs w:val="22"/>
        </w:rPr>
        <w:t xml:space="preserve"> (</w:t>
      </w:r>
      <w:proofErr w:type="spellStart"/>
      <w:r w:rsidRPr="00B02AED">
        <w:rPr>
          <w:color w:val="FF0000"/>
          <w:sz w:val="24"/>
          <w:szCs w:val="22"/>
        </w:rPr>
        <w:t>granzima</w:t>
      </w:r>
      <w:proofErr w:type="spellEnd"/>
      <w:r w:rsidRPr="00B02AED">
        <w:rPr>
          <w:color w:val="FF0000"/>
          <w:sz w:val="24"/>
          <w:szCs w:val="22"/>
        </w:rPr>
        <w:t xml:space="preserve"> e </w:t>
      </w:r>
      <w:proofErr w:type="spellStart"/>
      <w:r w:rsidRPr="00B02AED">
        <w:rPr>
          <w:color w:val="FF0000"/>
          <w:sz w:val="24"/>
          <w:szCs w:val="22"/>
        </w:rPr>
        <w:t>perforina</w:t>
      </w:r>
      <w:proofErr w:type="spellEnd"/>
      <w:r w:rsidRPr="00B02AED">
        <w:rPr>
          <w:color w:val="FF0000"/>
          <w:sz w:val="24"/>
          <w:szCs w:val="22"/>
        </w:rPr>
        <w:t xml:space="preserve">) ou </w:t>
      </w:r>
      <w:proofErr w:type="spellStart"/>
      <w:r w:rsidRPr="00B02AED">
        <w:rPr>
          <w:color w:val="FF0000"/>
          <w:sz w:val="24"/>
          <w:szCs w:val="22"/>
        </w:rPr>
        <w:t>Fas</w:t>
      </w:r>
      <w:proofErr w:type="spellEnd"/>
      <w:r w:rsidRPr="00B02AED">
        <w:rPr>
          <w:color w:val="FF0000"/>
          <w:sz w:val="24"/>
          <w:szCs w:val="22"/>
        </w:rPr>
        <w:t>/</w:t>
      </w:r>
      <w:proofErr w:type="spellStart"/>
      <w:r w:rsidRPr="00B02AED">
        <w:rPr>
          <w:color w:val="FF0000"/>
          <w:sz w:val="24"/>
          <w:szCs w:val="22"/>
        </w:rPr>
        <w:t>FasL</w:t>
      </w:r>
      <w:proofErr w:type="spellEnd"/>
      <w:r w:rsidRPr="00B02AED">
        <w:rPr>
          <w:color w:val="FF0000"/>
          <w:sz w:val="24"/>
          <w:szCs w:val="22"/>
        </w:rPr>
        <w:t>.</w:t>
      </w:r>
    </w:p>
    <w:p w14:paraId="1CD13300" w14:textId="77777777" w:rsidR="00B02AED" w:rsidRPr="00B02AED" w:rsidRDefault="00B02AED" w:rsidP="00B02AED">
      <w:pPr>
        <w:spacing w:line="360" w:lineRule="auto"/>
        <w:jc w:val="both"/>
        <w:rPr>
          <w:sz w:val="24"/>
          <w:szCs w:val="22"/>
        </w:rPr>
      </w:pPr>
      <w:r w:rsidRPr="00B02AED">
        <w:rPr>
          <w:sz w:val="24"/>
          <w:szCs w:val="22"/>
        </w:rPr>
        <w:t xml:space="preserve">b. A imunidade </w:t>
      </w:r>
      <w:proofErr w:type="gramStart"/>
      <w:r w:rsidRPr="00B02AED">
        <w:rPr>
          <w:sz w:val="24"/>
          <w:szCs w:val="22"/>
        </w:rPr>
        <w:t>especifica</w:t>
      </w:r>
      <w:proofErr w:type="gramEnd"/>
      <w:r w:rsidRPr="00B02AED">
        <w:rPr>
          <w:sz w:val="24"/>
          <w:szCs w:val="22"/>
        </w:rPr>
        <w:t xml:space="preserve"> pode contribuir na ação antiviral? Se sim, como?</w:t>
      </w:r>
    </w:p>
    <w:p w14:paraId="209E5AD9" w14:textId="77777777" w:rsidR="00B02AED" w:rsidRPr="00B02AED" w:rsidRDefault="00B02AED" w:rsidP="00B02AED">
      <w:pPr>
        <w:spacing w:line="360" w:lineRule="auto"/>
        <w:jc w:val="both"/>
        <w:rPr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t xml:space="preserve">Os linfócitos B produzem AC </w:t>
      </w:r>
      <w:proofErr w:type="spellStart"/>
      <w:r w:rsidRPr="00B02AED">
        <w:rPr>
          <w:color w:val="FF0000"/>
          <w:sz w:val="24"/>
          <w:szCs w:val="22"/>
        </w:rPr>
        <w:t>anti-virus</w:t>
      </w:r>
      <w:proofErr w:type="spellEnd"/>
      <w:r w:rsidRPr="00B02AED">
        <w:rPr>
          <w:color w:val="FF0000"/>
          <w:sz w:val="24"/>
          <w:szCs w:val="22"/>
        </w:rPr>
        <w:t xml:space="preserve"> que atuam neutralizando o patógeno na fase extracelular e potencializando a fagocitose e a ativação do sistema complemento.</w:t>
      </w:r>
    </w:p>
    <w:p w14:paraId="760FF41F" w14:textId="77777777" w:rsidR="00B02AED" w:rsidRPr="00B02AED" w:rsidRDefault="00B02AED" w:rsidP="00B02AED">
      <w:pPr>
        <w:spacing w:line="360" w:lineRule="auto"/>
        <w:jc w:val="both"/>
        <w:rPr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t>Os linfócitos T CD8+ reconhecem as células infectadas que expõem MHC-I com peptídeos virais e podem elimina-las de modo semelhante aos NK.</w:t>
      </w:r>
    </w:p>
    <w:p w14:paraId="5D15396E" w14:textId="77777777" w:rsidR="00B02AED" w:rsidRPr="00B02AED" w:rsidRDefault="00B02AED" w:rsidP="00B02AED">
      <w:pPr>
        <w:spacing w:line="360" w:lineRule="auto"/>
        <w:jc w:val="both"/>
        <w:rPr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t xml:space="preserve">Os linfócitos CD4+ podem auxiliar a resposta imune ativando uma resposta de tipo Th1, que através da produção de </w:t>
      </w:r>
      <w:proofErr w:type="spellStart"/>
      <w:r w:rsidRPr="00B02AED">
        <w:rPr>
          <w:color w:val="FF0000"/>
          <w:sz w:val="24"/>
          <w:szCs w:val="22"/>
        </w:rPr>
        <w:t>IFNg</w:t>
      </w:r>
      <w:proofErr w:type="spellEnd"/>
      <w:r w:rsidRPr="00B02AED">
        <w:rPr>
          <w:color w:val="FF0000"/>
          <w:sz w:val="24"/>
          <w:szCs w:val="22"/>
        </w:rPr>
        <w:t xml:space="preserve"> ativa a produção de IgG especificas, potencializa os Mø e ativa os CD8+.</w:t>
      </w:r>
    </w:p>
    <w:p w14:paraId="124907A8" w14:textId="77777777" w:rsidR="00B02AED" w:rsidRPr="00B02AED" w:rsidRDefault="00B02AED" w:rsidP="00B02AED">
      <w:pPr>
        <w:spacing w:line="360" w:lineRule="auto"/>
        <w:jc w:val="both"/>
        <w:rPr>
          <w:sz w:val="24"/>
          <w:szCs w:val="22"/>
        </w:rPr>
      </w:pPr>
      <w:r w:rsidRPr="00B02AED">
        <w:rPr>
          <w:sz w:val="24"/>
          <w:szCs w:val="22"/>
        </w:rPr>
        <w:t>c. Qual é o sentido de tomar a vacina profilática contra o vírus da influenza? Qual é a resposta protetora que é ativada pela vacina? Porque é uma vacina que precisa ser tomada cada ano?</w:t>
      </w:r>
    </w:p>
    <w:p w14:paraId="753A5FD9" w14:textId="3B7105DD" w:rsidR="00325F9D" w:rsidRPr="00B02AED" w:rsidRDefault="00B02AED" w:rsidP="00325F9D">
      <w:pPr>
        <w:spacing w:line="360" w:lineRule="auto"/>
        <w:jc w:val="both"/>
        <w:rPr>
          <w:b/>
          <w:color w:val="FF0000"/>
          <w:sz w:val="24"/>
          <w:szCs w:val="22"/>
        </w:rPr>
      </w:pPr>
      <w:r w:rsidRPr="00B02AED">
        <w:rPr>
          <w:color w:val="FF0000"/>
          <w:sz w:val="24"/>
          <w:szCs w:val="22"/>
        </w:rPr>
        <w:t xml:space="preserve"> A vacina profilática induz Ac específicos e memoria imunológica contra o vírus, mimetizando o primeiro encontro entre o S.I. e o patógeno. A resposta protetora é a produção de Ac. Cada ano existe uma epidemia de vírus da influenza de cepas diferentes e a vacina é desenvolvida para uma cepa </w:t>
      </w:r>
      <w:proofErr w:type="gramStart"/>
      <w:r w:rsidRPr="00B02AED">
        <w:rPr>
          <w:color w:val="FF0000"/>
          <w:sz w:val="24"/>
          <w:szCs w:val="22"/>
        </w:rPr>
        <w:t>especifica</w:t>
      </w:r>
      <w:proofErr w:type="gramEnd"/>
      <w:r w:rsidRPr="00B02AED">
        <w:rPr>
          <w:color w:val="FF0000"/>
          <w:sz w:val="24"/>
          <w:szCs w:val="22"/>
        </w:rPr>
        <w:t xml:space="preserve">. Sendo que o vírus da influenza é um vírus muito variável, a vacina anual não cobre </w:t>
      </w:r>
      <w:proofErr w:type="gramStart"/>
      <w:r w:rsidRPr="00B02AED">
        <w:rPr>
          <w:color w:val="FF0000"/>
          <w:sz w:val="24"/>
          <w:szCs w:val="22"/>
        </w:rPr>
        <w:t>qualquer cepas</w:t>
      </w:r>
      <w:proofErr w:type="gramEnd"/>
      <w:r w:rsidRPr="00B02AED">
        <w:rPr>
          <w:color w:val="FF0000"/>
          <w:sz w:val="24"/>
          <w:szCs w:val="22"/>
        </w:rPr>
        <w:t xml:space="preserve">. </w:t>
      </w:r>
    </w:p>
    <w:sectPr w:rsidR="00325F9D" w:rsidRPr="00B02AED" w:rsidSect="00AA169E">
      <w:headerReference w:type="default" r:id="rId7"/>
      <w:footerReference w:type="even" r:id="rId8"/>
      <w:footerReference w:type="default" r:id="rId9"/>
      <w:pgSz w:w="12240" w:h="15840"/>
      <w:pgMar w:top="284" w:right="1701" w:bottom="284" w:left="1701" w:header="113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057AD" w14:textId="77777777" w:rsidR="00B8121B" w:rsidRPr="00DF0C13" w:rsidRDefault="00B8121B" w:rsidP="00DF0C13">
      <w:r>
        <w:separator/>
      </w:r>
    </w:p>
  </w:endnote>
  <w:endnote w:type="continuationSeparator" w:id="0">
    <w:p w14:paraId="6D3A00D3" w14:textId="77777777" w:rsidR="00B8121B" w:rsidRPr="00DF0C13" w:rsidRDefault="00B8121B" w:rsidP="00DF0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75219016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B6140AA" w14:textId="1E182125" w:rsidR="00BE1CB2" w:rsidRDefault="00BE1CB2" w:rsidP="00821BD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1D60A99" w14:textId="77777777" w:rsidR="00BE1CB2" w:rsidRDefault="00BE1CB2" w:rsidP="00BE1CB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41643812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3266EE8" w14:textId="24DBD6E9" w:rsidR="00BE1CB2" w:rsidRDefault="00BE1CB2" w:rsidP="00821BD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5A873E4" w14:textId="6B1F4BCA" w:rsidR="002253F0" w:rsidRDefault="002253F0" w:rsidP="00BE1CB2">
    <w:pPr>
      <w:ind w:right="360"/>
      <w:jc w:val="center"/>
      <w:rPr>
        <w:rFonts w:ascii="Calibri" w:hAnsi="Calibri" w:cs="Calibri"/>
      </w:rPr>
    </w:pPr>
  </w:p>
  <w:p w14:paraId="2AAB7B5F" w14:textId="77777777" w:rsidR="002E470E" w:rsidRPr="00845DD8" w:rsidRDefault="002E470E" w:rsidP="00CE04F9">
    <w:pPr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3CFD3" w14:textId="77777777" w:rsidR="00B8121B" w:rsidRPr="00DF0C13" w:rsidRDefault="00B8121B" w:rsidP="00DF0C13">
      <w:r>
        <w:separator/>
      </w:r>
    </w:p>
  </w:footnote>
  <w:footnote w:type="continuationSeparator" w:id="0">
    <w:p w14:paraId="0B8A1AFC" w14:textId="77777777" w:rsidR="00B8121B" w:rsidRPr="00DF0C13" w:rsidRDefault="00B8121B" w:rsidP="00DF0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0CDD1" w14:textId="77777777" w:rsidR="002253F0" w:rsidRDefault="002253F0" w:rsidP="002E470E">
    <w:pPr>
      <w:pStyle w:val="Citazioneintensa"/>
      <w:pBdr>
        <w:bottom w:val="none" w:sz="0" w:space="0" w:color="auto"/>
      </w:pBdr>
      <w:ind w:left="0" w:right="-93"/>
      <w:jc w:val="center"/>
    </w:pPr>
    <w:r>
      <w:rPr>
        <w:noProof/>
        <w:lang w:val="it-IT" w:eastAsia="it-IT"/>
      </w:rPr>
      <w:drawing>
        <wp:inline distT="0" distB="0" distL="0" distR="0" wp14:anchorId="54B9C44D" wp14:editId="75AC9E1A">
          <wp:extent cx="1845945" cy="1302385"/>
          <wp:effectExtent l="0" t="0" r="1905" b="0"/>
          <wp:docPr id="1" name="Imagem 1" descr="LOGO VENCE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ENCED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94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556A1"/>
    <w:multiLevelType w:val="hybridMultilevel"/>
    <w:tmpl w:val="70B669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BC65845"/>
    <w:multiLevelType w:val="singleLevel"/>
    <w:tmpl w:val="35D23896"/>
    <w:lvl w:ilvl="0">
      <w:start w:val="30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2" w15:restartNumberingAfterBreak="0">
    <w:nsid w:val="737C2A7D"/>
    <w:multiLevelType w:val="hybridMultilevel"/>
    <w:tmpl w:val="34DC2782"/>
    <w:lvl w:ilvl="0" w:tplc="D50CA5C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94280"/>
    <w:multiLevelType w:val="hybridMultilevel"/>
    <w:tmpl w:val="38047A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74"/>
    <w:rsid w:val="00026461"/>
    <w:rsid w:val="00026816"/>
    <w:rsid w:val="000317BA"/>
    <w:rsid w:val="000355FE"/>
    <w:rsid w:val="000412CD"/>
    <w:rsid w:val="000418BE"/>
    <w:rsid w:val="00042A42"/>
    <w:rsid w:val="00042F4C"/>
    <w:rsid w:val="0004451F"/>
    <w:rsid w:val="00060639"/>
    <w:rsid w:val="0006111B"/>
    <w:rsid w:val="00062D41"/>
    <w:rsid w:val="000D6604"/>
    <w:rsid w:val="000E4022"/>
    <w:rsid w:val="000F2FF7"/>
    <w:rsid w:val="000F5827"/>
    <w:rsid w:val="00104A2A"/>
    <w:rsid w:val="00110547"/>
    <w:rsid w:val="00110B82"/>
    <w:rsid w:val="001203FA"/>
    <w:rsid w:val="00122F56"/>
    <w:rsid w:val="00125F88"/>
    <w:rsid w:val="0012778A"/>
    <w:rsid w:val="00141585"/>
    <w:rsid w:val="001433E7"/>
    <w:rsid w:val="001543F2"/>
    <w:rsid w:val="00160CD0"/>
    <w:rsid w:val="00165BD2"/>
    <w:rsid w:val="001771A9"/>
    <w:rsid w:val="00181B4A"/>
    <w:rsid w:val="00190CFE"/>
    <w:rsid w:val="0019131C"/>
    <w:rsid w:val="001941C0"/>
    <w:rsid w:val="001A65DC"/>
    <w:rsid w:val="001B2593"/>
    <w:rsid w:val="001B77B6"/>
    <w:rsid w:val="001C18F0"/>
    <w:rsid w:val="001E0E21"/>
    <w:rsid w:val="001E1A6F"/>
    <w:rsid w:val="001F68F6"/>
    <w:rsid w:val="0021487A"/>
    <w:rsid w:val="002253F0"/>
    <w:rsid w:val="002308EB"/>
    <w:rsid w:val="002317A3"/>
    <w:rsid w:val="00240EEB"/>
    <w:rsid w:val="00261730"/>
    <w:rsid w:val="00274E82"/>
    <w:rsid w:val="00284AA9"/>
    <w:rsid w:val="002A7EFD"/>
    <w:rsid w:val="002B18EF"/>
    <w:rsid w:val="002B6DB3"/>
    <w:rsid w:val="002C4CE3"/>
    <w:rsid w:val="002C5598"/>
    <w:rsid w:val="002E470E"/>
    <w:rsid w:val="002E5103"/>
    <w:rsid w:val="002F4909"/>
    <w:rsid w:val="002F5706"/>
    <w:rsid w:val="002F7607"/>
    <w:rsid w:val="00307194"/>
    <w:rsid w:val="003129A6"/>
    <w:rsid w:val="00317DAA"/>
    <w:rsid w:val="00325F9D"/>
    <w:rsid w:val="00340F0D"/>
    <w:rsid w:val="00341C50"/>
    <w:rsid w:val="003429DA"/>
    <w:rsid w:val="0034583A"/>
    <w:rsid w:val="00345B10"/>
    <w:rsid w:val="003706FD"/>
    <w:rsid w:val="0038060C"/>
    <w:rsid w:val="00384EB4"/>
    <w:rsid w:val="00386FC2"/>
    <w:rsid w:val="00387FCB"/>
    <w:rsid w:val="00396E96"/>
    <w:rsid w:val="003A307B"/>
    <w:rsid w:val="003B370E"/>
    <w:rsid w:val="003B7A55"/>
    <w:rsid w:val="003E3FC7"/>
    <w:rsid w:val="003E4CD0"/>
    <w:rsid w:val="003F6879"/>
    <w:rsid w:val="004022E1"/>
    <w:rsid w:val="004129FE"/>
    <w:rsid w:val="00415A1F"/>
    <w:rsid w:val="00416DFE"/>
    <w:rsid w:val="00424329"/>
    <w:rsid w:val="00424F0A"/>
    <w:rsid w:val="00434445"/>
    <w:rsid w:val="00450699"/>
    <w:rsid w:val="0045708B"/>
    <w:rsid w:val="0045733B"/>
    <w:rsid w:val="0048652D"/>
    <w:rsid w:val="00495F82"/>
    <w:rsid w:val="004A030E"/>
    <w:rsid w:val="004C425C"/>
    <w:rsid w:val="004D0359"/>
    <w:rsid w:val="004D5E56"/>
    <w:rsid w:val="004D6503"/>
    <w:rsid w:val="004E5E39"/>
    <w:rsid w:val="004E6695"/>
    <w:rsid w:val="0051154A"/>
    <w:rsid w:val="00524732"/>
    <w:rsid w:val="00525C7E"/>
    <w:rsid w:val="00526751"/>
    <w:rsid w:val="005425F2"/>
    <w:rsid w:val="0055028F"/>
    <w:rsid w:val="0055503E"/>
    <w:rsid w:val="00555541"/>
    <w:rsid w:val="0055585B"/>
    <w:rsid w:val="00556509"/>
    <w:rsid w:val="00585946"/>
    <w:rsid w:val="00591CDF"/>
    <w:rsid w:val="00593E2C"/>
    <w:rsid w:val="00596052"/>
    <w:rsid w:val="005A3BE7"/>
    <w:rsid w:val="005A6953"/>
    <w:rsid w:val="005A7998"/>
    <w:rsid w:val="005B0A99"/>
    <w:rsid w:val="005B5278"/>
    <w:rsid w:val="005B7C9C"/>
    <w:rsid w:val="005E1FA1"/>
    <w:rsid w:val="005F2899"/>
    <w:rsid w:val="006123E3"/>
    <w:rsid w:val="00613BA2"/>
    <w:rsid w:val="00624474"/>
    <w:rsid w:val="00645341"/>
    <w:rsid w:val="00652535"/>
    <w:rsid w:val="00652F76"/>
    <w:rsid w:val="0065344D"/>
    <w:rsid w:val="00656064"/>
    <w:rsid w:val="0065669B"/>
    <w:rsid w:val="006667A2"/>
    <w:rsid w:val="006762CE"/>
    <w:rsid w:val="00682875"/>
    <w:rsid w:val="00682CFA"/>
    <w:rsid w:val="00684316"/>
    <w:rsid w:val="006846DA"/>
    <w:rsid w:val="006B2FE8"/>
    <w:rsid w:val="006B35EF"/>
    <w:rsid w:val="006C00DC"/>
    <w:rsid w:val="006C08CD"/>
    <w:rsid w:val="00703793"/>
    <w:rsid w:val="00724514"/>
    <w:rsid w:val="00725096"/>
    <w:rsid w:val="0072660F"/>
    <w:rsid w:val="00730540"/>
    <w:rsid w:val="007310F1"/>
    <w:rsid w:val="00732AC8"/>
    <w:rsid w:val="0073310C"/>
    <w:rsid w:val="0074557E"/>
    <w:rsid w:val="00751721"/>
    <w:rsid w:val="007555E9"/>
    <w:rsid w:val="0076226D"/>
    <w:rsid w:val="007719D1"/>
    <w:rsid w:val="00771A69"/>
    <w:rsid w:val="00774958"/>
    <w:rsid w:val="00775195"/>
    <w:rsid w:val="007764A7"/>
    <w:rsid w:val="007831A9"/>
    <w:rsid w:val="0078414B"/>
    <w:rsid w:val="007C535C"/>
    <w:rsid w:val="007C5743"/>
    <w:rsid w:val="007D1D14"/>
    <w:rsid w:val="007E54A9"/>
    <w:rsid w:val="008026C4"/>
    <w:rsid w:val="008178F4"/>
    <w:rsid w:val="00823B61"/>
    <w:rsid w:val="00830DC9"/>
    <w:rsid w:val="008338F1"/>
    <w:rsid w:val="00834E89"/>
    <w:rsid w:val="00845DD8"/>
    <w:rsid w:val="00862BDD"/>
    <w:rsid w:val="008848DA"/>
    <w:rsid w:val="00897FB2"/>
    <w:rsid w:val="008A161B"/>
    <w:rsid w:val="008B0078"/>
    <w:rsid w:val="008B206C"/>
    <w:rsid w:val="008C73AC"/>
    <w:rsid w:val="008D2799"/>
    <w:rsid w:val="008E7D07"/>
    <w:rsid w:val="008F6E4F"/>
    <w:rsid w:val="0090540A"/>
    <w:rsid w:val="00914F69"/>
    <w:rsid w:val="00924B9C"/>
    <w:rsid w:val="009529A6"/>
    <w:rsid w:val="00964B7F"/>
    <w:rsid w:val="009942C9"/>
    <w:rsid w:val="009956BA"/>
    <w:rsid w:val="009B122E"/>
    <w:rsid w:val="009B1D9B"/>
    <w:rsid w:val="009C5455"/>
    <w:rsid w:val="009D3A7A"/>
    <w:rsid w:val="009E076B"/>
    <w:rsid w:val="009E3255"/>
    <w:rsid w:val="009F54C1"/>
    <w:rsid w:val="009F73B9"/>
    <w:rsid w:val="009F7DD4"/>
    <w:rsid w:val="00A0068D"/>
    <w:rsid w:val="00A0516A"/>
    <w:rsid w:val="00A13A57"/>
    <w:rsid w:val="00A32DEB"/>
    <w:rsid w:val="00A55D36"/>
    <w:rsid w:val="00A571DC"/>
    <w:rsid w:val="00A67999"/>
    <w:rsid w:val="00A7077A"/>
    <w:rsid w:val="00A80E00"/>
    <w:rsid w:val="00A8227E"/>
    <w:rsid w:val="00A8713C"/>
    <w:rsid w:val="00A94FE5"/>
    <w:rsid w:val="00AA169E"/>
    <w:rsid w:val="00AB3D0A"/>
    <w:rsid w:val="00AC3A11"/>
    <w:rsid w:val="00AD1B20"/>
    <w:rsid w:val="00AD25FB"/>
    <w:rsid w:val="00AF22FA"/>
    <w:rsid w:val="00B01A07"/>
    <w:rsid w:val="00B02AED"/>
    <w:rsid w:val="00B046BC"/>
    <w:rsid w:val="00B1382B"/>
    <w:rsid w:val="00B13F3A"/>
    <w:rsid w:val="00B1739F"/>
    <w:rsid w:val="00B17FA4"/>
    <w:rsid w:val="00B244F6"/>
    <w:rsid w:val="00B434A1"/>
    <w:rsid w:val="00B54550"/>
    <w:rsid w:val="00B61AC0"/>
    <w:rsid w:val="00B675E1"/>
    <w:rsid w:val="00B74056"/>
    <w:rsid w:val="00B8121B"/>
    <w:rsid w:val="00B81315"/>
    <w:rsid w:val="00B8145D"/>
    <w:rsid w:val="00B819B1"/>
    <w:rsid w:val="00B85519"/>
    <w:rsid w:val="00B95E00"/>
    <w:rsid w:val="00BA1663"/>
    <w:rsid w:val="00BA2F2A"/>
    <w:rsid w:val="00BA67A6"/>
    <w:rsid w:val="00BC075E"/>
    <w:rsid w:val="00BC6EE1"/>
    <w:rsid w:val="00BD5031"/>
    <w:rsid w:val="00BD6226"/>
    <w:rsid w:val="00BD71B6"/>
    <w:rsid w:val="00BE1CB2"/>
    <w:rsid w:val="00C17EEE"/>
    <w:rsid w:val="00C81874"/>
    <w:rsid w:val="00CA2BF1"/>
    <w:rsid w:val="00CA6989"/>
    <w:rsid w:val="00CB2F1B"/>
    <w:rsid w:val="00CC3518"/>
    <w:rsid w:val="00CD0E6F"/>
    <w:rsid w:val="00CD3E35"/>
    <w:rsid w:val="00CE04F9"/>
    <w:rsid w:val="00CE1769"/>
    <w:rsid w:val="00CF6C3C"/>
    <w:rsid w:val="00D015DA"/>
    <w:rsid w:val="00D06B10"/>
    <w:rsid w:val="00D241D8"/>
    <w:rsid w:val="00D365EB"/>
    <w:rsid w:val="00D4460A"/>
    <w:rsid w:val="00D53015"/>
    <w:rsid w:val="00D67B12"/>
    <w:rsid w:val="00D7432A"/>
    <w:rsid w:val="00D75E57"/>
    <w:rsid w:val="00D765A7"/>
    <w:rsid w:val="00D87717"/>
    <w:rsid w:val="00D95917"/>
    <w:rsid w:val="00DA7F7D"/>
    <w:rsid w:val="00DB0E9C"/>
    <w:rsid w:val="00DB2E3F"/>
    <w:rsid w:val="00DE3833"/>
    <w:rsid w:val="00DF0C13"/>
    <w:rsid w:val="00DF44FC"/>
    <w:rsid w:val="00E05906"/>
    <w:rsid w:val="00E26B4E"/>
    <w:rsid w:val="00E5118C"/>
    <w:rsid w:val="00E52739"/>
    <w:rsid w:val="00E55180"/>
    <w:rsid w:val="00E74D53"/>
    <w:rsid w:val="00E9232E"/>
    <w:rsid w:val="00E96DA2"/>
    <w:rsid w:val="00E976DD"/>
    <w:rsid w:val="00EA5C5F"/>
    <w:rsid w:val="00EB4AC4"/>
    <w:rsid w:val="00EB4EB1"/>
    <w:rsid w:val="00EE3663"/>
    <w:rsid w:val="00EF784A"/>
    <w:rsid w:val="00F06DE9"/>
    <w:rsid w:val="00F218E0"/>
    <w:rsid w:val="00F23CBB"/>
    <w:rsid w:val="00F26E11"/>
    <w:rsid w:val="00F30068"/>
    <w:rsid w:val="00F378C3"/>
    <w:rsid w:val="00F4536F"/>
    <w:rsid w:val="00F53683"/>
    <w:rsid w:val="00F54000"/>
    <w:rsid w:val="00F56097"/>
    <w:rsid w:val="00F66FD0"/>
    <w:rsid w:val="00F75EA0"/>
    <w:rsid w:val="00F904E6"/>
    <w:rsid w:val="00F90AF2"/>
    <w:rsid w:val="00F9362A"/>
    <w:rsid w:val="00F97B95"/>
    <w:rsid w:val="00FA14B5"/>
    <w:rsid w:val="00FB63FC"/>
    <w:rsid w:val="00FC135C"/>
    <w:rsid w:val="00FC345F"/>
    <w:rsid w:val="00FC4DE1"/>
    <w:rsid w:val="00FC5EF9"/>
    <w:rsid w:val="00FE65B7"/>
    <w:rsid w:val="00FF21AC"/>
    <w:rsid w:val="00FF2F3D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B70E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rsid w:val="00141585"/>
    <w:pPr>
      <w:keepNext/>
      <w:jc w:val="center"/>
      <w:outlineLvl w:val="0"/>
    </w:pPr>
    <w:rPr>
      <w:rFonts w:ascii="Arial" w:hAnsi="Arial"/>
      <w:b/>
      <w:sz w:val="16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5425F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0317BA"/>
    <w:pPr>
      <w:ind w:left="142" w:firstLine="1274"/>
      <w:jc w:val="both"/>
    </w:pPr>
    <w:rPr>
      <w:i/>
      <w:sz w:val="24"/>
    </w:rPr>
  </w:style>
  <w:style w:type="character" w:styleId="Collegamentoipertestuale">
    <w:name w:val="Hyperlink"/>
    <w:uiPriority w:val="99"/>
    <w:unhideWhenUsed/>
    <w:rsid w:val="0048652D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F0C13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F0C13"/>
  </w:style>
  <w:style w:type="paragraph" w:styleId="Pidipagina">
    <w:name w:val="footer"/>
    <w:basedOn w:val="Normale"/>
    <w:link w:val="PidipaginaCarattere"/>
    <w:rsid w:val="00DF0C13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rsid w:val="00DF0C13"/>
  </w:style>
  <w:style w:type="character" w:customStyle="1" w:styleId="Titolo6Carattere">
    <w:name w:val="Titolo 6 Carattere"/>
    <w:link w:val="Titolo6"/>
    <w:semiHidden/>
    <w:rsid w:val="005425F2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orpodetexto21">
    <w:name w:val="Corpo de texto 21"/>
    <w:basedOn w:val="Normale"/>
    <w:rsid w:val="005425F2"/>
    <w:pPr>
      <w:overflowPunct w:val="0"/>
      <w:autoSpaceDE w:val="0"/>
      <w:autoSpaceDN w:val="0"/>
      <w:adjustRightInd w:val="0"/>
      <w:ind w:left="2160" w:hanging="1440"/>
      <w:jc w:val="both"/>
      <w:textAlignment w:val="baseline"/>
    </w:pPr>
    <w:rPr>
      <w:rFonts w:ascii="Arial" w:hAnsi="Arial"/>
      <w:i/>
      <w:sz w:val="22"/>
      <w:lang w:val="en-US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4451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04451F"/>
    <w:rPr>
      <w:b/>
      <w:bCs/>
      <w:i/>
      <w:iCs/>
      <w:color w:val="4F81BD"/>
    </w:rPr>
  </w:style>
  <w:style w:type="paragraph" w:styleId="Testofumetto">
    <w:name w:val="Balloon Text"/>
    <w:basedOn w:val="Normale"/>
    <w:link w:val="TestofumettoCarattere"/>
    <w:rsid w:val="00BD503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D5031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nhideWhenUsed/>
    <w:rsid w:val="003B7A5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3B7A55"/>
  </w:style>
  <w:style w:type="paragraph" w:styleId="Paragrafoelenco">
    <w:name w:val="List Paragraph"/>
    <w:basedOn w:val="Normale"/>
    <w:uiPriority w:val="34"/>
    <w:qFormat/>
    <w:rsid w:val="00387FCB"/>
    <w:pPr>
      <w:ind w:left="720"/>
      <w:contextualSpacing/>
    </w:pPr>
    <w:rPr>
      <w:rFonts w:eastAsiaTheme="minorEastAsia"/>
      <w:sz w:val="24"/>
      <w:szCs w:val="24"/>
      <w:lang w:val="it-IT" w:eastAsia="en-US"/>
    </w:rPr>
  </w:style>
  <w:style w:type="character" w:styleId="Numeropagina">
    <w:name w:val="page number"/>
    <w:basedOn w:val="Carpredefinitoparagrafo"/>
    <w:semiHidden/>
    <w:unhideWhenUsed/>
    <w:rsid w:val="00BE1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valeria\Meus%20documentos\Diretoria\indcomissa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Settings\valeria\Meus documentos\Diretoria\indcomissao.dot</Template>
  <TotalTime>52</TotalTime>
  <Pages>5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Machado dos Santos</dc:creator>
  <cp:lastModifiedBy>Alessandra Pontillo</cp:lastModifiedBy>
  <cp:revision>5</cp:revision>
  <cp:lastPrinted>2018-03-26T22:06:00Z</cp:lastPrinted>
  <dcterms:created xsi:type="dcterms:W3CDTF">2019-01-18T12:15:00Z</dcterms:created>
  <dcterms:modified xsi:type="dcterms:W3CDTF">2019-01-24T18:14:00Z</dcterms:modified>
</cp:coreProperties>
</file>