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4DB" w:rsidRPr="00B324DB" w:rsidRDefault="00B324DB" w:rsidP="00B324DB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B324DB">
        <w:rPr>
          <w:rFonts w:ascii="Arial" w:hAnsi="Arial" w:cs="Arial"/>
          <w:b/>
          <w:bCs/>
          <w:sz w:val="24"/>
          <w:szCs w:val="24"/>
        </w:rPr>
        <w:t>Células-tronco: tipos, características e uso na medicina regenerativa</w:t>
      </w:r>
    </w:p>
    <w:p w:rsidR="00B324DB" w:rsidRPr="00B324DB" w:rsidRDefault="00B324DB" w:rsidP="00B324DB"/>
    <w:p w:rsidR="00B324DB" w:rsidRPr="00551135" w:rsidRDefault="00B324DB" w:rsidP="00B324DB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551135">
        <w:rPr>
          <w:rFonts w:ascii="Arial" w:hAnsi="Arial" w:cs="Arial"/>
          <w:b/>
          <w:bCs/>
          <w:i/>
          <w:iCs/>
          <w:sz w:val="24"/>
          <w:szCs w:val="24"/>
        </w:rPr>
        <w:t>Artigos comentados na aula:</w:t>
      </w:r>
    </w:p>
    <w:p w:rsidR="00B324DB" w:rsidRPr="00551135" w:rsidRDefault="00B324DB" w:rsidP="00551135">
      <w:pPr>
        <w:spacing w:after="0"/>
        <w:rPr>
          <w:rFonts w:ascii="Arial" w:hAnsi="Arial" w:cs="Arial"/>
          <w:sz w:val="24"/>
          <w:szCs w:val="24"/>
        </w:rPr>
      </w:pPr>
      <w:r w:rsidRPr="00551135">
        <w:rPr>
          <w:rFonts w:ascii="Arial" w:hAnsi="Arial" w:cs="Arial"/>
          <w:sz w:val="24"/>
          <w:szCs w:val="24"/>
        </w:rPr>
        <w:t>Bier A et al. Placenta-derived mesenchymal stromal cells and their exosomes exert therapeutic effects in Duchenne muscular dystrophy. Biomaterials. 2018 Aug;174:67-78. </w:t>
      </w:r>
    </w:p>
    <w:p w:rsidR="00B324DB" w:rsidRPr="00551135" w:rsidRDefault="006437A3" w:rsidP="00551135">
      <w:pPr>
        <w:rPr>
          <w:rFonts w:ascii="Arial" w:hAnsi="Arial" w:cs="Arial"/>
          <w:sz w:val="24"/>
          <w:szCs w:val="24"/>
        </w:rPr>
      </w:pPr>
      <w:hyperlink r:id="rId5" w:history="1">
        <w:r w:rsidR="00B324DB" w:rsidRPr="00551135">
          <w:rPr>
            <w:rStyle w:val="Hyperlink"/>
            <w:rFonts w:ascii="Arial" w:hAnsi="Arial" w:cs="Arial"/>
            <w:sz w:val="24"/>
            <w:szCs w:val="24"/>
          </w:rPr>
          <w:t>https://www.ncbi.nlm.nih.gov/pubmed/29783118</w:t>
        </w:r>
      </w:hyperlink>
    </w:p>
    <w:p w:rsidR="00B324DB" w:rsidRPr="00551135" w:rsidRDefault="00B324DB" w:rsidP="00551135">
      <w:pPr>
        <w:spacing w:after="0"/>
        <w:rPr>
          <w:rFonts w:ascii="Arial" w:hAnsi="Arial" w:cs="Arial"/>
          <w:sz w:val="24"/>
          <w:szCs w:val="24"/>
        </w:rPr>
      </w:pPr>
      <w:r w:rsidRPr="00551135">
        <w:rPr>
          <w:rFonts w:ascii="Arial" w:hAnsi="Arial" w:cs="Arial"/>
          <w:sz w:val="24"/>
          <w:szCs w:val="24"/>
        </w:rPr>
        <w:t>Lessa TB et al. Muscle reorganisation through local injection of stem cells in the diaphragm of mdx mice. Acta Vet Scand. 2012 Dec 12;54:73.</w:t>
      </w:r>
    </w:p>
    <w:p w:rsidR="00B324DB" w:rsidRPr="00551135" w:rsidRDefault="006437A3" w:rsidP="00551135">
      <w:pPr>
        <w:rPr>
          <w:rFonts w:ascii="Arial" w:hAnsi="Arial" w:cs="Arial"/>
          <w:sz w:val="24"/>
          <w:szCs w:val="24"/>
        </w:rPr>
      </w:pPr>
      <w:hyperlink r:id="rId6" w:history="1">
        <w:r w:rsidR="00B324DB" w:rsidRPr="00551135">
          <w:rPr>
            <w:rStyle w:val="Hyperlink"/>
            <w:rFonts w:ascii="Arial" w:hAnsi="Arial" w:cs="Arial"/>
            <w:sz w:val="24"/>
            <w:szCs w:val="24"/>
          </w:rPr>
          <w:t>https://www.ncbi.nlm.nih.gov/pubmed/23231953</w:t>
        </w:r>
      </w:hyperlink>
    </w:p>
    <w:p w:rsidR="00B324DB" w:rsidRPr="00551135" w:rsidRDefault="00B324DB" w:rsidP="00551135">
      <w:pPr>
        <w:spacing w:after="0"/>
        <w:rPr>
          <w:rFonts w:ascii="Arial" w:hAnsi="Arial" w:cs="Arial"/>
          <w:sz w:val="24"/>
          <w:szCs w:val="24"/>
        </w:rPr>
      </w:pPr>
      <w:r w:rsidRPr="00551135">
        <w:rPr>
          <w:rFonts w:ascii="Arial" w:hAnsi="Arial" w:cs="Arial"/>
          <w:sz w:val="24"/>
          <w:szCs w:val="24"/>
        </w:rPr>
        <w:t xml:space="preserve">Vidane AS et al. Transplantation of amniotic membrane-derived multipotent cells ameliorates and delays the progression of chronic kidney disease in cats. Reprod Domest Anim. 2017 Apr;52 Suppl 2:316-326. </w:t>
      </w:r>
    </w:p>
    <w:p w:rsidR="00B324DB" w:rsidRPr="00551135" w:rsidRDefault="006437A3" w:rsidP="00551135">
      <w:pPr>
        <w:pStyle w:val="Ttulo1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hyperlink r:id="rId7" w:history="1">
        <w:r w:rsidR="00551135" w:rsidRPr="00551135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https://www.ncbi.nlm.nih.gov/pubmed/27774657</w:t>
        </w:r>
      </w:hyperlink>
    </w:p>
    <w:p w:rsidR="00B324DB" w:rsidRPr="00551135" w:rsidRDefault="00B324DB" w:rsidP="00B324DB">
      <w:pPr>
        <w:rPr>
          <w:rFonts w:ascii="Arial" w:hAnsi="Arial" w:cs="Arial"/>
          <w:sz w:val="24"/>
          <w:szCs w:val="24"/>
        </w:rPr>
      </w:pPr>
    </w:p>
    <w:p w:rsidR="00B324DB" w:rsidRPr="00B324DB" w:rsidRDefault="00B324DB" w:rsidP="00B324DB">
      <w:pPr>
        <w:rPr>
          <w:rFonts w:ascii="Arial" w:hAnsi="Arial" w:cs="Arial"/>
          <w:i/>
          <w:iCs/>
          <w:sz w:val="24"/>
          <w:szCs w:val="24"/>
        </w:rPr>
      </w:pPr>
      <w:r w:rsidRPr="00B324DB">
        <w:rPr>
          <w:rFonts w:ascii="Arial" w:hAnsi="Arial" w:cs="Arial"/>
          <w:i/>
          <w:iCs/>
          <w:sz w:val="24"/>
          <w:szCs w:val="24"/>
        </w:rPr>
        <w:t>Referências:</w:t>
      </w:r>
    </w:p>
    <w:p w:rsidR="00B324DB" w:rsidRPr="00B324DB" w:rsidRDefault="00B324DB" w:rsidP="00B324DB">
      <w:pPr>
        <w:rPr>
          <w:rFonts w:ascii="Arial" w:hAnsi="Arial" w:cs="Arial"/>
          <w:sz w:val="24"/>
          <w:szCs w:val="24"/>
        </w:rPr>
      </w:pPr>
    </w:p>
    <w:p w:rsidR="00B324DB" w:rsidRPr="00B324DB" w:rsidRDefault="00B324DB" w:rsidP="00B324DB">
      <w:pPr>
        <w:rPr>
          <w:rFonts w:ascii="Arial" w:hAnsi="Arial" w:cs="Arial"/>
          <w:sz w:val="24"/>
          <w:szCs w:val="24"/>
        </w:rPr>
      </w:pPr>
      <w:r w:rsidRPr="00B324DB">
        <w:rPr>
          <w:rFonts w:ascii="Arial" w:hAnsi="Arial" w:cs="Arial"/>
          <w:sz w:val="24"/>
          <w:szCs w:val="24"/>
          <w:lang w:val="en-US"/>
        </w:rPr>
        <w:t xml:space="preserve">Baker M. Adult cells reprogrammed to pluripotency, without tumors. </w:t>
      </w:r>
      <w:r w:rsidRPr="00B324DB">
        <w:rPr>
          <w:rFonts w:ascii="Arial" w:hAnsi="Arial" w:cs="Arial"/>
          <w:sz w:val="24"/>
          <w:szCs w:val="24"/>
        </w:rPr>
        <w:t>Nature Reports Stem Cells, 2007.</w:t>
      </w:r>
    </w:p>
    <w:p w:rsidR="00B324DB" w:rsidRPr="00B324DB" w:rsidRDefault="00B324DB" w:rsidP="00B324DB">
      <w:pPr>
        <w:rPr>
          <w:rFonts w:ascii="Arial" w:hAnsi="Arial" w:cs="Arial"/>
          <w:sz w:val="24"/>
          <w:szCs w:val="24"/>
        </w:rPr>
      </w:pPr>
      <w:r w:rsidRPr="00B324DB">
        <w:rPr>
          <w:rFonts w:ascii="Arial" w:hAnsi="Arial" w:cs="Arial"/>
          <w:sz w:val="24"/>
          <w:szCs w:val="24"/>
        </w:rPr>
        <w:t xml:space="preserve">Takahashi K. et al. Induction of pluripotent stem cells from adult human fibroblasts by defined factors. Cell advance online, 2007. </w:t>
      </w:r>
    </w:p>
    <w:p w:rsidR="00B324DB" w:rsidRPr="00B324DB" w:rsidRDefault="00B324DB" w:rsidP="00B324DB">
      <w:pPr>
        <w:rPr>
          <w:rFonts w:ascii="Arial" w:hAnsi="Arial" w:cs="Arial"/>
          <w:sz w:val="24"/>
          <w:szCs w:val="24"/>
        </w:rPr>
      </w:pPr>
      <w:r w:rsidRPr="00B324DB">
        <w:rPr>
          <w:rFonts w:ascii="Arial" w:hAnsi="Arial" w:cs="Arial"/>
          <w:sz w:val="24"/>
          <w:szCs w:val="24"/>
        </w:rPr>
        <w:t>Takahashi K. &amp; Yamanaka S. Induction of pluripotent stem cells from mouse embryonic and adult fibroblast cultures by defined factors. Cell 126, 663–76, 2006.</w:t>
      </w:r>
    </w:p>
    <w:p w:rsidR="00B324DB" w:rsidRPr="00B324DB" w:rsidRDefault="00B324DB" w:rsidP="00B324DB">
      <w:pPr>
        <w:rPr>
          <w:rFonts w:ascii="Arial" w:hAnsi="Arial" w:cs="Arial"/>
          <w:sz w:val="24"/>
          <w:szCs w:val="24"/>
        </w:rPr>
      </w:pPr>
      <w:r w:rsidRPr="00B324DB">
        <w:rPr>
          <w:rFonts w:ascii="Arial" w:hAnsi="Arial" w:cs="Arial"/>
          <w:sz w:val="24"/>
          <w:szCs w:val="24"/>
        </w:rPr>
        <w:t>Gurdon JK. The Developmental Capacity of Nuclei taken from Intestinal Epithelium Cells of Feeding Tadpoles by Development 1962 10: 622-640</w:t>
      </w:r>
    </w:p>
    <w:p w:rsidR="00B324DB" w:rsidRPr="00B324DB" w:rsidRDefault="00B324DB" w:rsidP="00B324DB">
      <w:pPr>
        <w:rPr>
          <w:rFonts w:ascii="Arial" w:hAnsi="Arial" w:cs="Arial"/>
          <w:sz w:val="24"/>
          <w:szCs w:val="24"/>
        </w:rPr>
      </w:pPr>
      <w:r w:rsidRPr="00B324DB">
        <w:rPr>
          <w:rFonts w:ascii="Arial" w:hAnsi="Arial" w:cs="Arial"/>
          <w:sz w:val="24"/>
          <w:szCs w:val="24"/>
        </w:rPr>
        <w:t>Redman M, et al. Arch Dis Child Educ Pract Ed 2016;101:213–215. doi:10.1136/archdischild-2016-310459</w:t>
      </w:r>
    </w:p>
    <w:p w:rsidR="00B324DB" w:rsidRPr="00B324DB" w:rsidRDefault="00B324DB" w:rsidP="00B324DB">
      <w:pPr>
        <w:rPr>
          <w:rFonts w:ascii="Arial" w:hAnsi="Arial" w:cs="Arial"/>
          <w:sz w:val="24"/>
          <w:szCs w:val="24"/>
        </w:rPr>
      </w:pPr>
      <w:r w:rsidRPr="00B324DB">
        <w:rPr>
          <w:rFonts w:ascii="Arial" w:hAnsi="Arial" w:cs="Arial"/>
          <w:sz w:val="24"/>
          <w:szCs w:val="24"/>
        </w:rPr>
        <w:t>Rovira J. et al. Uso terapéutico de las vesículas extracelulares en insuficiencia renal aguda y crónica. Nefrologia, 2 0 1 7;3 7(2):126–137.</w:t>
      </w:r>
    </w:p>
    <w:p w:rsidR="00B324DB" w:rsidRPr="00B324DB" w:rsidRDefault="00B324DB" w:rsidP="00B324DB">
      <w:pPr>
        <w:rPr>
          <w:rFonts w:ascii="Arial" w:hAnsi="Arial" w:cs="Arial"/>
          <w:sz w:val="24"/>
          <w:szCs w:val="24"/>
        </w:rPr>
      </w:pPr>
      <w:r w:rsidRPr="00B324DB">
        <w:rPr>
          <w:rFonts w:ascii="Arial" w:hAnsi="Arial" w:cs="Arial"/>
          <w:sz w:val="24"/>
          <w:szCs w:val="24"/>
        </w:rPr>
        <w:t>Zucconi, E et al. Células-tronco mesenquimais derivadas da veia do cordão umbilical canina - uma nova fonte para estudos de terapia celular. Stem Cells and Development, 19 (3), 395-402. 2010 </w:t>
      </w:r>
    </w:p>
    <w:p w:rsidR="00B324DB" w:rsidRPr="00B324DB" w:rsidRDefault="00B324DB" w:rsidP="00B324DB">
      <w:pPr>
        <w:rPr>
          <w:rFonts w:ascii="Arial" w:hAnsi="Arial" w:cs="Arial"/>
          <w:sz w:val="24"/>
          <w:szCs w:val="24"/>
        </w:rPr>
      </w:pPr>
      <w:r w:rsidRPr="00B324DB">
        <w:rPr>
          <w:rFonts w:ascii="Arial" w:hAnsi="Arial" w:cs="Arial"/>
          <w:sz w:val="24"/>
          <w:szCs w:val="24"/>
        </w:rPr>
        <w:t>Wenceslau, CV, et al. Células Progenitoras Mesenquimais de Tecidos Fetais Caninos: Saco de Gema, Fígado e Medula Óssea. Engenharia de Tecidos Parte A, 17 (17-18), 2165-2176. 2011</w:t>
      </w:r>
    </w:p>
    <w:p w:rsidR="00B324DB" w:rsidRPr="00B324DB" w:rsidRDefault="00B324DB" w:rsidP="00B324DB">
      <w:pPr>
        <w:rPr>
          <w:rFonts w:ascii="Arial" w:hAnsi="Arial" w:cs="Arial"/>
          <w:sz w:val="24"/>
          <w:szCs w:val="24"/>
        </w:rPr>
      </w:pPr>
      <w:r w:rsidRPr="00B324DB">
        <w:rPr>
          <w:rFonts w:ascii="Arial" w:hAnsi="Arial" w:cs="Arial"/>
          <w:sz w:val="24"/>
          <w:szCs w:val="24"/>
        </w:rPr>
        <w:t>Abbasi-Malati Z et al. Mesenchymal Stem Cells on Horizon: A New Arsenal of Therapeutic Agents. Stem Cell Reviews and Reports, 2018</w:t>
      </w:r>
    </w:p>
    <w:p w:rsidR="00B324DB" w:rsidRPr="00B324DB" w:rsidRDefault="00B324DB" w:rsidP="00B324DB">
      <w:pPr>
        <w:rPr>
          <w:rFonts w:ascii="Arial" w:hAnsi="Arial" w:cs="Arial"/>
          <w:sz w:val="24"/>
          <w:szCs w:val="24"/>
        </w:rPr>
      </w:pPr>
      <w:r w:rsidRPr="00B324DB">
        <w:rPr>
          <w:rFonts w:ascii="Arial" w:hAnsi="Arial" w:cs="Arial"/>
          <w:sz w:val="24"/>
          <w:szCs w:val="24"/>
        </w:rPr>
        <w:lastRenderedPageBreak/>
        <w:t>Cano E; Gebala V and Gerhardt E. Pericytes or Mesenchymal Stem Cells: Is That the Question? Cell Stem Cell, v.3, p.301–313, 2017;</w:t>
      </w:r>
    </w:p>
    <w:p w:rsidR="00B324DB" w:rsidRPr="00B324DB" w:rsidRDefault="00B324DB" w:rsidP="00B324DB">
      <w:pPr>
        <w:rPr>
          <w:rFonts w:ascii="Arial" w:hAnsi="Arial" w:cs="Arial"/>
          <w:sz w:val="24"/>
          <w:szCs w:val="24"/>
        </w:rPr>
      </w:pPr>
      <w:r w:rsidRPr="00B324DB">
        <w:rPr>
          <w:rFonts w:ascii="Arial" w:hAnsi="Arial" w:cs="Arial"/>
          <w:sz w:val="24"/>
          <w:szCs w:val="24"/>
        </w:rPr>
        <w:t>Caplan AI. Mesenchymal stem cells. J Orthop Res; v.9, p.641–650, 1991;</w:t>
      </w:r>
    </w:p>
    <w:p w:rsidR="00B324DB" w:rsidRPr="00B324DB" w:rsidRDefault="00B324DB" w:rsidP="00B324DB">
      <w:pPr>
        <w:rPr>
          <w:rFonts w:ascii="Arial" w:hAnsi="Arial" w:cs="Arial"/>
          <w:sz w:val="24"/>
          <w:szCs w:val="24"/>
        </w:rPr>
      </w:pPr>
      <w:r w:rsidRPr="00B324DB">
        <w:rPr>
          <w:rFonts w:ascii="Arial" w:hAnsi="Arial" w:cs="Arial"/>
          <w:sz w:val="24"/>
          <w:szCs w:val="24"/>
        </w:rPr>
        <w:t>Caplan AI. Adult mesenchymal stem cells: When, where, and how. Stem Cells, 2015;</w:t>
      </w:r>
    </w:p>
    <w:p w:rsidR="00B324DB" w:rsidRPr="00B324DB" w:rsidRDefault="00B324DB" w:rsidP="00B324DB">
      <w:pPr>
        <w:rPr>
          <w:rFonts w:ascii="Arial" w:hAnsi="Arial" w:cs="Arial"/>
          <w:sz w:val="24"/>
          <w:szCs w:val="24"/>
        </w:rPr>
      </w:pPr>
      <w:r w:rsidRPr="00B324DB">
        <w:rPr>
          <w:rFonts w:ascii="Arial" w:hAnsi="Arial" w:cs="Arial"/>
          <w:sz w:val="24"/>
          <w:szCs w:val="24"/>
        </w:rPr>
        <w:t>Crivelli B, et al. Mesenchymal stem/stromal cell extracellular vesicles: From active principle to next generation drug delivery system. J Control Release; v.28, n.262, p.104-117, 2017;</w:t>
      </w:r>
    </w:p>
    <w:p w:rsidR="00B324DB" w:rsidRPr="00B324DB" w:rsidRDefault="00B324DB" w:rsidP="00B324DB">
      <w:pPr>
        <w:rPr>
          <w:rFonts w:ascii="Arial" w:hAnsi="Arial" w:cs="Arial"/>
          <w:sz w:val="24"/>
          <w:szCs w:val="24"/>
        </w:rPr>
      </w:pPr>
      <w:r w:rsidRPr="00B324DB">
        <w:rPr>
          <w:rFonts w:ascii="Arial" w:hAnsi="Arial" w:cs="Arial"/>
          <w:sz w:val="24"/>
          <w:szCs w:val="24"/>
        </w:rPr>
        <w:t>Dominici M, et al. Minimal criteria for defining multipotent mesenchymal stromal cells. The International Society for Cellular Therapy position statement. Cytotherapy, v.8, n. 4, p.315- 317, 2006;</w:t>
      </w:r>
    </w:p>
    <w:p w:rsidR="00B324DB" w:rsidRPr="00B324DB" w:rsidRDefault="00B324DB" w:rsidP="00B324DB">
      <w:pPr>
        <w:rPr>
          <w:rFonts w:ascii="Arial" w:hAnsi="Arial" w:cs="Arial"/>
          <w:sz w:val="24"/>
          <w:szCs w:val="24"/>
        </w:rPr>
      </w:pPr>
      <w:r w:rsidRPr="00B324DB">
        <w:rPr>
          <w:rFonts w:ascii="Arial" w:hAnsi="Arial" w:cs="Arial"/>
          <w:sz w:val="24"/>
          <w:szCs w:val="24"/>
        </w:rPr>
        <w:t>Friedenstein AJ, et al. Stromal cells responsible for transferring the microenvironment of the hemopoietic tissues. Cloning in vitro and retransplantation in vivo. Transplantation 17:331-340, 1974;</w:t>
      </w:r>
    </w:p>
    <w:p w:rsidR="00B324DB" w:rsidRPr="00B324DB" w:rsidRDefault="00B324DB" w:rsidP="00B324DB">
      <w:pPr>
        <w:rPr>
          <w:rFonts w:ascii="Arial" w:hAnsi="Arial" w:cs="Arial"/>
          <w:sz w:val="24"/>
          <w:szCs w:val="24"/>
        </w:rPr>
      </w:pPr>
      <w:r w:rsidRPr="00B324DB">
        <w:rPr>
          <w:rFonts w:ascii="Arial" w:hAnsi="Arial" w:cs="Arial"/>
          <w:sz w:val="24"/>
          <w:szCs w:val="24"/>
        </w:rPr>
        <w:t>Götz M. Revising concepts about adult stem cells. Science, v.359, 2018;</w:t>
      </w:r>
    </w:p>
    <w:p w:rsidR="00B324DB" w:rsidRPr="00B324DB" w:rsidRDefault="00B324DB" w:rsidP="00B324DB">
      <w:pPr>
        <w:rPr>
          <w:rFonts w:ascii="Arial" w:hAnsi="Arial" w:cs="Arial"/>
          <w:sz w:val="24"/>
          <w:szCs w:val="24"/>
        </w:rPr>
      </w:pPr>
      <w:r w:rsidRPr="00B324DB">
        <w:rPr>
          <w:rFonts w:ascii="Arial" w:hAnsi="Arial" w:cs="Arial"/>
          <w:sz w:val="24"/>
          <w:szCs w:val="24"/>
        </w:rPr>
        <w:t xml:space="preserve">Grotto HZW, Noronha, JFA. Rev. bras. hematol. Hemoter, v.25, n.3, p.169-172, 2003; </w:t>
      </w:r>
    </w:p>
    <w:p w:rsidR="00B324DB" w:rsidRPr="00B324DB" w:rsidRDefault="00B324DB" w:rsidP="00B324DB">
      <w:pPr>
        <w:rPr>
          <w:rFonts w:ascii="Arial" w:hAnsi="Arial" w:cs="Arial"/>
          <w:sz w:val="24"/>
          <w:szCs w:val="24"/>
        </w:rPr>
      </w:pPr>
      <w:r w:rsidRPr="00B324DB">
        <w:rPr>
          <w:rFonts w:ascii="Arial" w:hAnsi="Arial" w:cs="Arial"/>
          <w:sz w:val="24"/>
          <w:szCs w:val="24"/>
        </w:rPr>
        <w:t>Horwitz EM, et al. Clarification of the nomenclature for MSC: The International Society for Cellular Therapy position statement. Cytotherapy; v.7, p.93–395, 2005;</w:t>
      </w:r>
    </w:p>
    <w:p w:rsidR="00B324DB" w:rsidRPr="00B324DB" w:rsidRDefault="00B324DB" w:rsidP="00B324DB">
      <w:pPr>
        <w:rPr>
          <w:rFonts w:ascii="Arial" w:hAnsi="Arial" w:cs="Arial"/>
          <w:sz w:val="24"/>
          <w:szCs w:val="24"/>
        </w:rPr>
      </w:pPr>
      <w:r w:rsidRPr="00B324DB">
        <w:rPr>
          <w:rFonts w:ascii="Arial" w:hAnsi="Arial" w:cs="Arial"/>
          <w:sz w:val="24"/>
          <w:szCs w:val="24"/>
        </w:rPr>
        <w:t xml:space="preserve">Mushahary M, et al. Isolation, Cultivation, and Characterization of Human Mesenchymal Stem Cells, Cytometry Part A, v.93A, p.19-31, 2018; </w:t>
      </w:r>
    </w:p>
    <w:p w:rsidR="00B324DB" w:rsidRPr="00B324DB" w:rsidRDefault="00B324DB" w:rsidP="00B324DB">
      <w:pPr>
        <w:rPr>
          <w:rFonts w:ascii="Arial" w:hAnsi="Arial" w:cs="Arial"/>
          <w:sz w:val="24"/>
          <w:szCs w:val="24"/>
        </w:rPr>
      </w:pPr>
      <w:r w:rsidRPr="00B324DB">
        <w:rPr>
          <w:rFonts w:ascii="Arial" w:hAnsi="Arial" w:cs="Arial"/>
          <w:sz w:val="24"/>
          <w:szCs w:val="24"/>
        </w:rPr>
        <w:t>Oliveira IS; Fernandes TRL. Cell Therapy Using Adult Stem Cells: [Review]. SaBios: Rev. Saúde e Biol., v.11, n.2, p.84-94, 2016;</w:t>
      </w:r>
    </w:p>
    <w:p w:rsidR="00B324DB" w:rsidRPr="00B324DB" w:rsidRDefault="00B324DB" w:rsidP="00B324DB">
      <w:pPr>
        <w:rPr>
          <w:rFonts w:ascii="Arial" w:hAnsi="Arial" w:cs="Arial"/>
          <w:sz w:val="24"/>
          <w:szCs w:val="24"/>
        </w:rPr>
      </w:pPr>
      <w:r w:rsidRPr="00B324DB">
        <w:rPr>
          <w:rFonts w:ascii="Arial" w:hAnsi="Arial" w:cs="Arial"/>
          <w:sz w:val="24"/>
          <w:szCs w:val="24"/>
        </w:rPr>
        <w:t>Samsonraj RM, et al. Concise Review: Multifaceted Characterization of Human Mesenchymal Stem Cells for Use in Regenerative Medicine. Stem Cells Translationalmedicine, v.6, p.2173–2185, 2017;</w:t>
      </w:r>
    </w:p>
    <w:p w:rsidR="00B324DB" w:rsidRPr="00B324DB" w:rsidRDefault="00B324DB" w:rsidP="00B324DB">
      <w:pPr>
        <w:rPr>
          <w:rFonts w:ascii="Arial" w:hAnsi="Arial" w:cs="Arial"/>
          <w:sz w:val="24"/>
          <w:szCs w:val="24"/>
        </w:rPr>
      </w:pPr>
      <w:r w:rsidRPr="00B324DB">
        <w:rPr>
          <w:rFonts w:ascii="Arial" w:hAnsi="Arial" w:cs="Arial"/>
          <w:sz w:val="24"/>
          <w:szCs w:val="24"/>
        </w:rPr>
        <w:t>Silva Junior FC, Odongo FCA, Dulley FL, Células-tronco hematopoéticas: utilidades e perspectivas, Rev. Bras. Hematol. Hemoter., v.31(Supl. 1), p.53-58. 2009;</w:t>
      </w:r>
    </w:p>
    <w:p w:rsidR="00B324DB" w:rsidRPr="00B324DB" w:rsidRDefault="00B324DB" w:rsidP="00B324DB">
      <w:pPr>
        <w:rPr>
          <w:rFonts w:ascii="Arial" w:hAnsi="Arial" w:cs="Arial"/>
          <w:sz w:val="24"/>
          <w:szCs w:val="24"/>
        </w:rPr>
      </w:pPr>
      <w:r w:rsidRPr="00B324DB">
        <w:rPr>
          <w:rFonts w:ascii="Arial" w:hAnsi="Arial" w:cs="Arial"/>
          <w:sz w:val="24"/>
          <w:szCs w:val="24"/>
        </w:rPr>
        <w:t>Sousa BR, et al. Human Adult Stem Cells from Diverse Origins: An Overview from Multiparametric Immunophenotyping to Clinical Applications. Cytometry Part A, v.85A, p.43-77, 2014;</w:t>
      </w:r>
    </w:p>
    <w:p w:rsidR="00B324DB" w:rsidRPr="00B324DB" w:rsidRDefault="00B324DB" w:rsidP="00B324DB">
      <w:pPr>
        <w:rPr>
          <w:rFonts w:ascii="Arial" w:hAnsi="Arial" w:cs="Arial"/>
          <w:sz w:val="24"/>
          <w:szCs w:val="24"/>
        </w:rPr>
      </w:pPr>
      <w:r w:rsidRPr="00B324DB">
        <w:rPr>
          <w:rFonts w:ascii="Arial" w:hAnsi="Arial" w:cs="Arial"/>
          <w:sz w:val="24"/>
          <w:szCs w:val="24"/>
        </w:rPr>
        <w:t>Thomas ED, et al. Supralethal whole body irradiation and isologous marrow transplantation in man.J Clin Invest, v.38, p.1709-16, 1959;</w:t>
      </w:r>
    </w:p>
    <w:p w:rsidR="00B324DB" w:rsidRPr="00B324DB" w:rsidRDefault="00B324DB" w:rsidP="00B324DB">
      <w:pPr>
        <w:rPr>
          <w:rFonts w:ascii="Arial" w:hAnsi="Arial" w:cs="Arial"/>
          <w:sz w:val="24"/>
          <w:szCs w:val="24"/>
        </w:rPr>
      </w:pPr>
      <w:r w:rsidRPr="00B324DB">
        <w:rPr>
          <w:rFonts w:ascii="Arial" w:hAnsi="Arial" w:cs="Arial"/>
          <w:sz w:val="24"/>
          <w:szCs w:val="24"/>
        </w:rPr>
        <w:t>Wei Q, Frenette PS. Niches for Hematopoietic Stem Cells and Their Progeny. Immunity; v.48, n.4, p.632-648, 2018;</w:t>
      </w:r>
    </w:p>
    <w:p w:rsidR="004816A8" w:rsidRPr="00B324DB" w:rsidRDefault="004816A8" w:rsidP="00B324DB">
      <w:pPr>
        <w:rPr>
          <w:rFonts w:ascii="Arial" w:hAnsi="Arial" w:cs="Arial"/>
          <w:sz w:val="24"/>
          <w:szCs w:val="24"/>
        </w:rPr>
      </w:pPr>
    </w:p>
    <w:sectPr w:rsidR="004816A8" w:rsidRPr="00B324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1E3F"/>
    <w:multiLevelType w:val="hybridMultilevel"/>
    <w:tmpl w:val="292CFCEE"/>
    <w:lvl w:ilvl="0" w:tplc="B922F90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D37A7B5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D0CEE97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8C30722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ECC4A3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5E9AAE3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3B2EC2A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96297A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D19E2AC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 w15:restartNumberingAfterBreak="0">
    <w:nsid w:val="1A9F7812"/>
    <w:multiLevelType w:val="hybridMultilevel"/>
    <w:tmpl w:val="2C1A593E"/>
    <w:lvl w:ilvl="0" w:tplc="2726306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BA78304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627C8FB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F8F67B6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EE32BB8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71EA906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20EA053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8306104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0722E01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" w15:restartNumberingAfterBreak="0">
    <w:nsid w:val="263028AA"/>
    <w:multiLevelType w:val="hybridMultilevel"/>
    <w:tmpl w:val="59AED832"/>
    <w:lvl w:ilvl="0" w:tplc="7536342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2BDAD49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1988FFE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03644DF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EB04A3D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FD64A0F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352EA79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3B3CDE9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70C2481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DB"/>
    <w:rsid w:val="004816A8"/>
    <w:rsid w:val="00551135"/>
    <w:rsid w:val="006437A3"/>
    <w:rsid w:val="00B3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60B97-957C-4FD4-83A2-37BFB261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324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324D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24DB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B324D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highlight">
    <w:name w:val="highlight"/>
    <w:basedOn w:val="Fontepargpadro"/>
    <w:rsid w:val="00B324DB"/>
  </w:style>
  <w:style w:type="paragraph" w:styleId="PargrafodaLista">
    <w:name w:val="List Paragraph"/>
    <w:basedOn w:val="Normal"/>
    <w:uiPriority w:val="34"/>
    <w:qFormat/>
    <w:rsid w:val="00B32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08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8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5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85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504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908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63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48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0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27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74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15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13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22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2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01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8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3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1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277746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23231953" TargetMode="External"/><Relationship Id="rId5" Type="http://schemas.openxmlformats.org/officeDocument/2006/relationships/hyperlink" Target="https://www.ncbi.nlm.nih.gov/pubmed/297831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</dc:creator>
  <cp:keywords/>
  <dc:description/>
  <cp:lastModifiedBy>Usuário do Microsoft Office</cp:lastModifiedBy>
  <cp:revision>2</cp:revision>
  <dcterms:created xsi:type="dcterms:W3CDTF">2020-05-11T12:41:00Z</dcterms:created>
  <dcterms:modified xsi:type="dcterms:W3CDTF">2020-05-11T12:41:00Z</dcterms:modified>
</cp:coreProperties>
</file>