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95E6E" w14:textId="77777777" w:rsidR="00F31EE1" w:rsidRDefault="00F31EE1" w:rsidP="00F31EE1">
      <w:pPr>
        <w:pBdr>
          <w:top w:val="nil"/>
          <w:left w:val="nil"/>
          <w:bottom w:val="nil"/>
          <w:right w:val="nil"/>
          <w:between w:val="nil"/>
        </w:pBdr>
        <w:spacing w:before="37"/>
        <w:ind w:left="142"/>
        <w:rPr>
          <w:rFonts w:ascii="Calibri" w:eastAsia="Calibri" w:hAnsi="Calibri" w:cs="Calibri"/>
          <w:color w:val="000000"/>
        </w:rPr>
      </w:pPr>
      <w:bookmarkStart w:id="0" w:name="_Hlk166314039"/>
      <w:r>
        <w:rPr>
          <w:rFonts w:ascii="Calibri" w:eastAsia="Calibri" w:hAnsi="Calibri" w:cs="Calibri"/>
          <w:color w:val="000000"/>
        </w:rPr>
        <w:t>Gabriella Vasconcelos Palmeira 85, 86, 87, 88</w:t>
      </w:r>
    </w:p>
    <w:p w14:paraId="736887DC" w14:textId="77777777" w:rsidR="00F31EE1" w:rsidRDefault="00F31EE1" w:rsidP="00F31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spacing w:before="183"/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Genes de reparo de DNA</w:t>
      </w:r>
    </w:p>
    <w:p w14:paraId="0C310454" w14:textId="77777777" w:rsidR="00F31EE1" w:rsidRDefault="00F31EE1" w:rsidP="00F31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Genética evolutiva</w:t>
      </w:r>
    </w:p>
    <w:p w14:paraId="4F7FB24D" w14:textId="77777777" w:rsidR="00F31EE1" w:rsidRDefault="00F31EE1" w:rsidP="00F31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Genética Mendeliana</w:t>
      </w:r>
    </w:p>
    <w:p w14:paraId="5CC0ABF6" w14:textId="4638CDD5" w:rsidR="00035AB7" w:rsidRPr="00F31EE1" w:rsidRDefault="00F31EE1" w:rsidP="00F31EE1">
      <w:pPr>
        <w:pStyle w:val="PargrafodaLista"/>
        <w:numPr>
          <w:ilvl w:val="0"/>
          <w:numId w:val="1"/>
        </w:numPr>
      </w:pPr>
      <w:r w:rsidRPr="00F31EE1">
        <w:rPr>
          <w:rFonts w:ascii="Calibri" w:eastAsia="Calibri" w:hAnsi="Calibri" w:cs="Calibri"/>
          <w:color w:val="000000"/>
          <w:sz w:val="24"/>
          <w:szCs w:val="24"/>
        </w:rPr>
        <w:t>Genética de populações</w:t>
      </w:r>
      <w:bookmarkEnd w:id="0"/>
    </w:p>
    <w:p w14:paraId="5FC8F8D7" w14:textId="77777777" w:rsidR="00F31EE1" w:rsidRDefault="00F31EE1" w:rsidP="00F31EE1"/>
    <w:p w14:paraId="215C1093" w14:textId="09C60320" w:rsidR="00F31EE1" w:rsidRDefault="00F31EE1" w:rsidP="00F31EE1">
      <w:pPr>
        <w:pStyle w:val="Ttulo1"/>
        <w:numPr>
          <w:ilvl w:val="0"/>
          <w:numId w:val="3"/>
        </w:numPr>
        <w:pBdr>
          <w:top w:val="single" w:sz="4" w:space="1" w:color="auto"/>
        </w:pBdr>
        <w:tabs>
          <w:tab w:val="left" w:pos="616"/>
        </w:tabs>
        <w:spacing w:line="360" w:lineRule="auto"/>
      </w:pPr>
      <w:bookmarkStart w:id="1" w:name="_Hlk166315114"/>
      <w:r>
        <w:rPr>
          <w:color w:val="2E5395"/>
        </w:rPr>
        <w:t>Genética Mendeliana</w:t>
      </w:r>
    </w:p>
    <w:bookmarkEnd w:id="1"/>
    <w:p w14:paraId="4E762A2B" w14:textId="77777777" w:rsidR="00F31EE1" w:rsidRPr="00F31EE1" w:rsidRDefault="00F31EE1" w:rsidP="00F31EE1">
      <w:pPr>
        <w:spacing w:line="360" w:lineRule="auto"/>
        <w:jc w:val="both"/>
        <w:rPr>
          <w:rFonts w:ascii="Arial" w:hAnsi="Arial" w:cs="Arial"/>
        </w:rPr>
      </w:pPr>
      <w:r w:rsidRPr="00F31EE1">
        <w:rPr>
          <w:rFonts w:ascii="Arial" w:hAnsi="Arial" w:cs="Arial"/>
        </w:rPr>
        <w:t>Gregor Mendel realizou experimentos pioneiros sobre cruzamentos e características hereditárias, com objetivo de verificar como essas características eram herdadas ao longo das gerações. O seu experimento consistia em cruzar linhagens de ervilhas “puras” e fazer a polinização cruzada entre as plantas. Esse procedimento o levou a formular as suas leis, que também ficaram conhecidas por Genética Mendeliana.</w:t>
      </w:r>
    </w:p>
    <w:p w14:paraId="263C9987" w14:textId="77777777" w:rsidR="00F31EE1" w:rsidRDefault="00F31EE1" w:rsidP="00F31EE1">
      <w:pPr>
        <w:spacing w:line="360" w:lineRule="auto"/>
        <w:jc w:val="both"/>
        <w:rPr>
          <w:rFonts w:ascii="Arial" w:hAnsi="Arial" w:cs="Arial"/>
        </w:rPr>
      </w:pPr>
      <w:r w:rsidRPr="00F31EE1">
        <w:rPr>
          <w:rFonts w:ascii="Arial" w:hAnsi="Arial" w:cs="Arial"/>
        </w:rPr>
        <w:t>Ele utilizou o quadrado de Punnett, que é uma ferramenta de análise estatística baseada na pesquisa que prevê a probabilidade de ocorrência de um fenótipo.</w:t>
      </w:r>
    </w:p>
    <w:p w14:paraId="3655D36B" w14:textId="0283800A" w:rsidR="00F31EE1" w:rsidRDefault="00F31EE1" w:rsidP="00F31EE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3A06967" wp14:editId="57233940">
            <wp:simplePos x="0" y="0"/>
            <wp:positionH relativeFrom="margin">
              <wp:posOffset>1663065</wp:posOffset>
            </wp:positionH>
            <wp:positionV relativeFrom="paragraph">
              <wp:posOffset>717550</wp:posOffset>
            </wp:positionV>
            <wp:extent cx="2171700" cy="1562100"/>
            <wp:effectExtent l="0" t="0" r="0" b="0"/>
            <wp:wrapTopAndBottom distT="0" distB="0"/>
            <wp:docPr id="7" name="image4.png" descr="Primeira Lei de Mend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rimeira Lei de Mende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EE1">
        <w:rPr>
          <w:rFonts w:ascii="Arial" w:hAnsi="Arial" w:cs="Arial"/>
        </w:rPr>
        <w:t>A Primeira Lei de Mendel (Princípio da Segregação dos Caracteres)</w:t>
      </w:r>
      <w:r>
        <w:rPr>
          <w:rFonts w:ascii="Arial" w:hAnsi="Arial" w:cs="Arial"/>
        </w:rPr>
        <w:t xml:space="preserve"> </w:t>
      </w:r>
      <w:r w:rsidRPr="00F31EE1">
        <w:rPr>
          <w:rFonts w:ascii="Arial" w:hAnsi="Arial" w:cs="Arial"/>
        </w:rPr>
        <w:t>estabelece que todas as características de um indivíduo são determinadas por genes, os quais se separam na formação dos gametas no processo de sua fecundação.</w:t>
      </w:r>
    </w:p>
    <w:p w14:paraId="7ABDF2EF" w14:textId="721AA046" w:rsidR="00F31EE1" w:rsidRPr="00F31EE1" w:rsidRDefault="00F31EE1" w:rsidP="00F31EE1">
      <w:pPr>
        <w:spacing w:line="360" w:lineRule="auto"/>
        <w:jc w:val="both"/>
        <w:rPr>
          <w:rFonts w:ascii="Arial" w:hAnsi="Arial" w:cs="Arial"/>
        </w:rPr>
      </w:pPr>
    </w:p>
    <w:p w14:paraId="4142142D" w14:textId="0D5FAAFD" w:rsidR="00F31EE1" w:rsidRDefault="00F31EE1" w:rsidP="00F31EE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68B39F1C" wp14:editId="2A2F6814">
            <wp:simplePos x="0" y="0"/>
            <wp:positionH relativeFrom="margin">
              <wp:align>center</wp:align>
            </wp:positionH>
            <wp:positionV relativeFrom="paragraph">
              <wp:posOffset>699770</wp:posOffset>
            </wp:positionV>
            <wp:extent cx="2078303" cy="1440179"/>
            <wp:effectExtent l="0" t="0" r="0" b="8255"/>
            <wp:wrapTopAndBottom distT="0" distB="0"/>
            <wp:docPr id="1199235042" name="image4.png" descr="Primeira Lei de Mend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rimeira Lei de Mende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8303" cy="1440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31EE1">
        <w:rPr>
          <w:rFonts w:ascii="Arial" w:hAnsi="Arial" w:cs="Arial"/>
        </w:rPr>
        <w:t>A Segunda Lei de Mendel (Lei da Segregação) propõe que os alelos separados uns dos outros durante a formação do gameta, resultam na transmissão de descendentes de 1 alelo por gene de cada progenitor.</w:t>
      </w:r>
    </w:p>
    <w:p w14:paraId="62D2E414" w14:textId="39E7D192" w:rsidR="00F31EE1" w:rsidRPr="00F31EE1" w:rsidRDefault="00F31EE1" w:rsidP="00F31EE1">
      <w:pPr>
        <w:spacing w:line="360" w:lineRule="auto"/>
        <w:jc w:val="both"/>
        <w:rPr>
          <w:rFonts w:ascii="Arial" w:hAnsi="Arial" w:cs="Arial"/>
        </w:rPr>
      </w:pPr>
    </w:p>
    <w:p w14:paraId="5A2F5C1B" w14:textId="5CD6EE68" w:rsidR="00F31EE1" w:rsidRDefault="00F31EE1" w:rsidP="00F31EE1">
      <w:pPr>
        <w:spacing w:line="360" w:lineRule="auto"/>
        <w:jc w:val="both"/>
        <w:rPr>
          <w:rFonts w:ascii="Arial" w:hAnsi="Arial" w:cs="Arial"/>
        </w:rPr>
      </w:pPr>
      <w:r w:rsidRPr="00F31EE1">
        <w:rPr>
          <w:rFonts w:ascii="Arial" w:hAnsi="Arial" w:cs="Arial"/>
        </w:rPr>
        <w:t>A Terceira Lei de Mendel (Lei da Segregação Independente) propõe que alelos de 2 ou mais genes se separam em gametas independentemente um do outro. Os alelos são transmitidos separados uns dos outros.</w:t>
      </w:r>
    </w:p>
    <w:p w14:paraId="3C84E8EB" w14:textId="57402DD3" w:rsidR="00171273" w:rsidRDefault="00171273" w:rsidP="00F31E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Referências bibliográficas: </w:t>
      </w:r>
    </w:p>
    <w:p w14:paraId="542ACA4C" w14:textId="37CFEB76" w:rsidR="00171273" w:rsidRDefault="00171273" w:rsidP="00F31EE1">
      <w:pPr>
        <w:spacing w:line="360" w:lineRule="auto"/>
        <w:jc w:val="both"/>
        <w:rPr>
          <w:rFonts w:ascii="Arial" w:hAnsi="Arial" w:cs="Arial"/>
        </w:rPr>
      </w:pPr>
      <w:hyperlink r:id="rId6" w:history="1">
        <w:r w:rsidRPr="0000400F">
          <w:rPr>
            <w:rStyle w:val="Hyperlink"/>
            <w:rFonts w:ascii="Arial" w:hAnsi="Arial" w:cs="Arial"/>
          </w:rPr>
          <w:t>https://drive.google.com/file/d/1-zm1_2dutzGscCRB0gDoKt3ApKd5pISk/view</w:t>
        </w:r>
      </w:hyperlink>
      <w:r>
        <w:rPr>
          <w:rFonts w:ascii="Arial" w:hAnsi="Arial" w:cs="Arial"/>
        </w:rPr>
        <w:t xml:space="preserve"> </w:t>
      </w:r>
    </w:p>
    <w:p w14:paraId="7E2B2F96" w14:textId="25E0AD7C" w:rsidR="00171273" w:rsidRDefault="00171273" w:rsidP="00F31EE1">
      <w:pPr>
        <w:spacing w:line="360" w:lineRule="auto"/>
        <w:jc w:val="both"/>
        <w:rPr>
          <w:rFonts w:ascii="Arial" w:hAnsi="Arial" w:cs="Arial"/>
        </w:rPr>
      </w:pPr>
      <w:hyperlink r:id="rId7" w:history="1">
        <w:r w:rsidRPr="0000400F">
          <w:rPr>
            <w:rStyle w:val="Hyperlink"/>
            <w:rFonts w:ascii="Arial" w:hAnsi="Arial" w:cs="Arial"/>
          </w:rPr>
          <w:t>https://www.ufrgs.br/colegiodeaplicacao/wp-content/uploads/2020/08/biologia_T300.pdf</w:t>
        </w:r>
      </w:hyperlink>
      <w:r>
        <w:rPr>
          <w:rFonts w:ascii="Arial" w:hAnsi="Arial" w:cs="Arial"/>
        </w:rPr>
        <w:t xml:space="preserve"> </w:t>
      </w:r>
    </w:p>
    <w:p w14:paraId="376C366E" w14:textId="5F815A4C" w:rsidR="00171273" w:rsidRDefault="00171273" w:rsidP="00F31EE1">
      <w:pPr>
        <w:spacing w:line="360" w:lineRule="auto"/>
        <w:jc w:val="both"/>
        <w:rPr>
          <w:rFonts w:ascii="Arial" w:hAnsi="Arial" w:cs="Arial"/>
        </w:rPr>
      </w:pPr>
      <w:hyperlink r:id="rId8" w:history="1">
        <w:r w:rsidRPr="0000400F">
          <w:rPr>
            <w:rStyle w:val="Hyperlink"/>
            <w:rFonts w:ascii="Arial" w:hAnsi="Arial" w:cs="Arial"/>
          </w:rPr>
          <w:t>https://www.repositorio.ufal.br/bitstream/riufal/6065/1/Ensino%20e%20aprendizagem%20de%20gen%C3%A9tica%20mendeliana.pdf</w:t>
        </w:r>
      </w:hyperlink>
      <w:r>
        <w:rPr>
          <w:rFonts w:ascii="Arial" w:hAnsi="Arial" w:cs="Arial"/>
        </w:rPr>
        <w:t xml:space="preserve"> </w:t>
      </w:r>
    </w:p>
    <w:p w14:paraId="007204F5" w14:textId="581A37AB" w:rsidR="00171273" w:rsidRDefault="00171273" w:rsidP="00F31EE1">
      <w:pPr>
        <w:spacing w:line="360" w:lineRule="auto"/>
        <w:jc w:val="both"/>
        <w:rPr>
          <w:rFonts w:ascii="Arial" w:hAnsi="Arial" w:cs="Arial"/>
        </w:rPr>
      </w:pPr>
      <w:hyperlink r:id="rId9" w:history="1">
        <w:r w:rsidRPr="0000400F">
          <w:rPr>
            <w:rStyle w:val="Hyperlink"/>
            <w:rFonts w:ascii="Arial" w:hAnsi="Arial" w:cs="Arial"/>
          </w:rPr>
          <w:t>https://uenf.br/cbb/lbt/files/2014/09/Gen%C3%A9tica-Mendeliana-atualizado-em-02-Out-13.pdf</w:t>
        </w:r>
      </w:hyperlink>
      <w:r>
        <w:rPr>
          <w:rFonts w:ascii="Arial" w:hAnsi="Arial" w:cs="Arial"/>
        </w:rPr>
        <w:t xml:space="preserve"> </w:t>
      </w:r>
    </w:p>
    <w:p w14:paraId="1944EFBF" w14:textId="77777777" w:rsidR="00171273" w:rsidRPr="00F31EE1" w:rsidRDefault="00171273" w:rsidP="00F31EE1">
      <w:pPr>
        <w:spacing w:line="360" w:lineRule="auto"/>
        <w:jc w:val="both"/>
        <w:rPr>
          <w:rFonts w:ascii="Arial" w:hAnsi="Arial" w:cs="Arial"/>
        </w:rPr>
      </w:pPr>
    </w:p>
    <w:sectPr w:rsidR="00171273" w:rsidRPr="00F31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226B"/>
    <w:multiLevelType w:val="multilevel"/>
    <w:tmpl w:val="52AC29CE"/>
    <w:lvl w:ilvl="0">
      <w:start w:val="85"/>
      <w:numFmt w:val="decimal"/>
      <w:lvlText w:val="%1."/>
      <w:lvlJc w:val="left"/>
      <w:pPr>
        <w:ind w:left="499" w:hanging="358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28" w:hanging="357"/>
      </w:pPr>
    </w:lvl>
    <w:lvl w:ilvl="2">
      <w:numFmt w:val="bullet"/>
      <w:lvlText w:val="•"/>
      <w:lvlJc w:val="left"/>
      <w:pPr>
        <w:ind w:left="2157" w:hanging="358"/>
      </w:pPr>
    </w:lvl>
    <w:lvl w:ilvl="3">
      <w:numFmt w:val="bullet"/>
      <w:lvlText w:val="•"/>
      <w:lvlJc w:val="left"/>
      <w:pPr>
        <w:ind w:left="2985" w:hanging="358"/>
      </w:pPr>
    </w:lvl>
    <w:lvl w:ilvl="4">
      <w:numFmt w:val="bullet"/>
      <w:lvlText w:val="•"/>
      <w:lvlJc w:val="left"/>
      <w:pPr>
        <w:ind w:left="3814" w:hanging="358"/>
      </w:pPr>
    </w:lvl>
    <w:lvl w:ilvl="5">
      <w:numFmt w:val="bullet"/>
      <w:lvlText w:val="•"/>
      <w:lvlJc w:val="left"/>
      <w:pPr>
        <w:ind w:left="4643" w:hanging="358"/>
      </w:pPr>
    </w:lvl>
    <w:lvl w:ilvl="6">
      <w:numFmt w:val="bullet"/>
      <w:lvlText w:val="•"/>
      <w:lvlJc w:val="left"/>
      <w:pPr>
        <w:ind w:left="5471" w:hanging="358"/>
      </w:pPr>
    </w:lvl>
    <w:lvl w:ilvl="7">
      <w:numFmt w:val="bullet"/>
      <w:lvlText w:val="•"/>
      <w:lvlJc w:val="left"/>
      <w:pPr>
        <w:ind w:left="6300" w:hanging="358"/>
      </w:pPr>
    </w:lvl>
    <w:lvl w:ilvl="8">
      <w:numFmt w:val="bullet"/>
      <w:lvlText w:val="•"/>
      <w:lvlJc w:val="left"/>
      <w:pPr>
        <w:ind w:left="7129" w:hanging="358"/>
      </w:pPr>
    </w:lvl>
  </w:abstractNum>
  <w:abstractNum w:abstractNumId="1" w15:restartNumberingAfterBreak="0">
    <w:nsid w:val="2B354C9F"/>
    <w:multiLevelType w:val="multilevel"/>
    <w:tmpl w:val="81E47A66"/>
    <w:lvl w:ilvl="0">
      <w:start w:val="85"/>
      <w:numFmt w:val="decimal"/>
      <w:lvlText w:val="%1."/>
      <w:lvlJc w:val="left"/>
      <w:pPr>
        <w:ind w:left="616" w:hanging="475"/>
      </w:pPr>
      <w:rPr>
        <w:rFonts w:ascii="Calibri" w:eastAsia="Calibri" w:hAnsi="Calibri" w:cs="Calibri"/>
        <w:b w:val="0"/>
        <w:i w:val="0"/>
        <w:color w:val="2E5395"/>
        <w:sz w:val="32"/>
        <w:szCs w:val="32"/>
      </w:rPr>
    </w:lvl>
    <w:lvl w:ilvl="1">
      <w:numFmt w:val="bullet"/>
      <w:lvlText w:val="•"/>
      <w:lvlJc w:val="left"/>
      <w:pPr>
        <w:ind w:left="1436" w:hanging="475"/>
      </w:pPr>
    </w:lvl>
    <w:lvl w:ilvl="2">
      <w:numFmt w:val="bullet"/>
      <w:lvlText w:val="•"/>
      <w:lvlJc w:val="left"/>
      <w:pPr>
        <w:ind w:left="2253" w:hanging="475"/>
      </w:pPr>
    </w:lvl>
    <w:lvl w:ilvl="3">
      <w:numFmt w:val="bullet"/>
      <w:lvlText w:val="•"/>
      <w:lvlJc w:val="left"/>
      <w:pPr>
        <w:ind w:left="3069" w:hanging="475"/>
      </w:pPr>
    </w:lvl>
    <w:lvl w:ilvl="4">
      <w:numFmt w:val="bullet"/>
      <w:lvlText w:val="•"/>
      <w:lvlJc w:val="left"/>
      <w:pPr>
        <w:ind w:left="3886" w:hanging="475"/>
      </w:pPr>
    </w:lvl>
    <w:lvl w:ilvl="5">
      <w:numFmt w:val="bullet"/>
      <w:lvlText w:val="•"/>
      <w:lvlJc w:val="left"/>
      <w:pPr>
        <w:ind w:left="4703" w:hanging="475"/>
      </w:pPr>
    </w:lvl>
    <w:lvl w:ilvl="6">
      <w:numFmt w:val="bullet"/>
      <w:lvlText w:val="•"/>
      <w:lvlJc w:val="left"/>
      <w:pPr>
        <w:ind w:left="5519" w:hanging="475"/>
      </w:pPr>
    </w:lvl>
    <w:lvl w:ilvl="7">
      <w:numFmt w:val="bullet"/>
      <w:lvlText w:val="•"/>
      <w:lvlJc w:val="left"/>
      <w:pPr>
        <w:ind w:left="6336" w:hanging="475"/>
      </w:pPr>
    </w:lvl>
    <w:lvl w:ilvl="8">
      <w:numFmt w:val="bullet"/>
      <w:lvlText w:val="•"/>
      <w:lvlJc w:val="left"/>
      <w:pPr>
        <w:ind w:left="7153" w:hanging="475"/>
      </w:pPr>
    </w:lvl>
  </w:abstractNum>
  <w:abstractNum w:abstractNumId="2" w15:restartNumberingAfterBreak="0">
    <w:nsid w:val="7B8332F8"/>
    <w:multiLevelType w:val="hybridMultilevel"/>
    <w:tmpl w:val="3A6EFB76"/>
    <w:lvl w:ilvl="0" w:tplc="8ADE0702">
      <w:start w:val="87"/>
      <w:numFmt w:val="decimal"/>
      <w:lvlText w:val="%1."/>
      <w:lvlJc w:val="left"/>
      <w:pPr>
        <w:ind w:left="546" w:hanging="405"/>
      </w:pPr>
      <w:rPr>
        <w:rFonts w:hint="default"/>
        <w:color w:val="2E5395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E1"/>
    <w:rsid w:val="00035AB7"/>
    <w:rsid w:val="00171273"/>
    <w:rsid w:val="00507072"/>
    <w:rsid w:val="00954352"/>
    <w:rsid w:val="00F3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C3E4"/>
  <w15:chartTrackingRefBased/>
  <w15:docId w15:val="{779ECD1A-E3BC-48C3-8792-944F7F75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E1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31EE1"/>
    <w:pPr>
      <w:spacing w:before="18"/>
      <w:ind w:left="616" w:hanging="474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1EE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31EE1"/>
    <w:rPr>
      <w:rFonts w:ascii="Calibri Light" w:eastAsia="Calibri Light" w:hAnsi="Calibri Light" w:cs="Calibri Light"/>
      <w:kern w:val="0"/>
      <w:sz w:val="32"/>
      <w:szCs w:val="32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1712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ositorio.ufal.br/bitstream/riufal/6065/1/Ensino%20e%20aprendizagem%20de%20gen%C3%A9tica%20mendelia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rgs.br/colegiodeaplicacao/wp-content/uploads/2020/08/biologia_T3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zm1_2dutzGscCRB0gDoKt3ApKd5pISk/vie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enf.br/cbb/lbt/files/2014/09/Gen%C3%A9tica-Mendeliana-atualizado-em-02-Out-13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 Palmeira</dc:creator>
  <cp:keywords/>
  <dc:description/>
  <cp:lastModifiedBy>Gabriella</cp:lastModifiedBy>
  <cp:revision>2</cp:revision>
  <dcterms:created xsi:type="dcterms:W3CDTF">2024-05-22T12:43:00Z</dcterms:created>
  <dcterms:modified xsi:type="dcterms:W3CDTF">2024-05-22T12:43:00Z</dcterms:modified>
</cp:coreProperties>
</file>