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087504"/>
      <w:r>
        <w:rPr>
          <w:rFonts w:cs="Times New Roman" w:ascii="Times New Roman" w:hAnsi="Times New Roman"/>
          <w:b/>
          <w:bCs/>
          <w:sz w:val="24"/>
          <w:szCs w:val="24"/>
        </w:rPr>
        <w:t>LÍNGUA LATINA IV (Matutino)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087504"/>
      <w:r>
        <w:rPr>
          <w:rFonts w:cs="Times New Roman" w:ascii="Times New Roman" w:hAnsi="Times New Roman"/>
          <w:b/>
          <w:bCs/>
          <w:sz w:val="24"/>
          <w:szCs w:val="24"/>
        </w:rPr>
        <w:t>Exercício Avaliativo (29/11/23)</w:t>
      </w:r>
      <w:bookmarkEnd w:id="1"/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(A)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At 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  <w:t>quam ob causam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, di immortales! tametsi iniuriam facio communi causae et iuri civitatis; quasi enim ulla possit esse causa cur hoc 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  <w:t>cuiquam civi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Romano iure accidat, ita quaero quae 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  <w:t>in Servilio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causa fuerit.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B)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shd w:fill="FFFFFF" w:val="clear"/>
        </w:rPr>
        <w:t>Ignoscite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in hoc uno, iudices; in ceteris enim non magnopere causas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shd w:fill="FFFFFF" w:val="clear"/>
        </w:rPr>
        <w:t>requiram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shd w:fill="FFFFFF" w:val="clear"/>
        </w:rPr>
        <w:t>Locutus erat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liberius de istius improbitate atque nequitia.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C)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Quod isti simul ac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  <w:shd w:fill="FFFFFF" w:val="clear"/>
        </w:rPr>
        <w:t>renuntiatum est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, </w:t>
      </w:r>
      <w:r>
        <w:rPr>
          <w:rFonts w:cs="ADLaM Display" w:ascii="Goudy Stout" w:hAnsi="Goudy Stout"/>
          <w:bCs/>
          <w:color w:val="333333"/>
          <w:sz w:val="28"/>
          <w:szCs w:val="28"/>
          <w:u w:val="wavyDouble"/>
          <w:shd w:fill="FFFFFF" w:val="clear"/>
        </w:rPr>
        <w:t xml:space="preserve">hominem </w:t>
      </w:r>
      <w:r>
        <w:rPr>
          <w:rFonts w:cs="ADLaM Display" w:ascii="Goudy Stout" w:hAnsi="Goudy Stout"/>
          <w:bCs/>
          <w:color w:val="FF0000"/>
          <w:sz w:val="28"/>
          <w:szCs w:val="28"/>
          <w:u w:val="wavyDouble"/>
          <w:shd w:fill="FFFFFF" w:val="clear"/>
        </w:rPr>
        <w:t>iubet</w:t>
      </w:r>
      <w:r>
        <w:rPr>
          <w:rFonts w:cs="ADLaM Display" w:ascii="Goudy Stout" w:hAnsi="Goudy Stout"/>
          <w:bCs/>
          <w:color w:val="333333"/>
          <w:sz w:val="28"/>
          <w:szCs w:val="28"/>
          <w:u w:val="wavyDouble"/>
          <w:shd w:fill="FFFFFF" w:val="clear"/>
        </w:rPr>
        <w:t xml:space="preserve"> Lilybaeum vadimonium Venerio servo </w:t>
      </w:r>
      <w:r>
        <w:rPr>
          <w:rFonts w:cs="ADLaM Display" w:ascii="Goudy Stout" w:hAnsi="Goudy Stout"/>
          <w:bCs/>
          <w:color w:val="FF0000"/>
          <w:sz w:val="28"/>
          <w:szCs w:val="28"/>
          <w:u w:val="wavyDouble"/>
          <w:shd w:fill="FFFFFF" w:val="clear"/>
        </w:rPr>
        <w:t>promittere</w:t>
      </w:r>
      <w:r>
        <w:rPr>
          <w:rFonts w:ascii="Book Antiqua" w:hAnsi="Book Antiqua"/>
          <w:color w:val="333333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 Promittit; </w:t>
      </w:r>
      <w:r>
        <w:rPr>
          <w:rFonts w:cs="Times New Roman" w:ascii="Times New Roman" w:hAnsi="Times New Roman"/>
          <w:b/>
          <w:bCs/>
          <w:color w:val="333333"/>
          <w:sz w:val="32"/>
          <w:szCs w:val="32"/>
          <w:u w:val="single"/>
          <w:shd w:fill="FFFFFF" w:val="clear"/>
        </w:rPr>
        <w:t xml:space="preserve">Lilybaeum </w:t>
      </w:r>
      <w:r>
        <w:rPr>
          <w:rFonts w:cs="Times New Roman" w:ascii="Times New Roman" w:hAnsi="Times New Roman"/>
          <w:b/>
          <w:bCs/>
          <w:color w:val="FF0000"/>
          <w:sz w:val="32"/>
          <w:szCs w:val="32"/>
          <w:u w:val="single"/>
          <w:shd w:fill="FFFFFF" w:val="clear"/>
        </w:rPr>
        <w:t>venitur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  <w:t>D)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 </w:t>
      </w:r>
      <w:r>
        <w:rPr>
          <w:rFonts w:ascii="Goudy Stout" w:hAnsi="Goudy Stout"/>
          <w:b/>
          <w:bCs/>
          <w:color w:val="333333"/>
          <w:sz w:val="28"/>
          <w:szCs w:val="28"/>
          <w:u w:val="single"/>
          <w:shd w:fill="FFFFFF" w:val="clear"/>
        </w:rPr>
        <w:t>Cogere</w:t>
      </w:r>
      <w:r>
        <w:rPr>
          <w:rFonts w:ascii="Goudy Stout" w:hAnsi="Goudy Stout"/>
          <w:color w:val="333333"/>
          <w:sz w:val="28"/>
          <w:szCs w:val="28"/>
          <w:shd w:fill="FFFFFF" w:val="clear"/>
        </w:rPr>
        <w:t xml:space="preserve"> eum coepit, cum </w:t>
      </w:r>
      <w:r>
        <w:rPr>
          <w:rFonts w:ascii="Goudy Stout" w:hAnsi="Goudy Stout"/>
          <w:b/>
          <w:bCs/>
          <w:color w:val="333333"/>
          <w:sz w:val="28"/>
          <w:szCs w:val="28"/>
          <w:shd w:fill="FFFFFF" w:val="clear"/>
        </w:rPr>
        <w:t>ageret</w:t>
      </w:r>
      <w:r>
        <w:rPr>
          <w:rFonts w:ascii="Goudy Stout" w:hAnsi="Goudy Stout"/>
          <w:color w:val="333333"/>
          <w:sz w:val="28"/>
          <w:szCs w:val="28"/>
          <w:shd w:fill="FFFFFF" w:val="clear"/>
        </w:rPr>
        <w:t xml:space="preserve"> nemo</w:t>
      </w:r>
      <w:r>
        <w:rPr>
          <w:rFonts w:ascii="Book Antiqua" w:hAnsi="Book Antiqua"/>
          <w:color w:val="333333"/>
          <w:sz w:val="32"/>
          <w:szCs w:val="32"/>
          <w:shd w:fill="FFFFFF" w:val="clear"/>
        </w:rPr>
        <w:t>,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 nemo </w:t>
      </w: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  <w:t>postularet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 xml:space="preserve">, sponsionem mille nummum facere cum lictore suo, 'Ni furtis quaestum </w:t>
      </w:r>
      <w:r>
        <w:rPr>
          <w:rFonts w:cs="Times New Roman" w:ascii="Times New Roman" w:hAnsi="Times New Roman"/>
          <w:b/>
          <w:bCs/>
          <w:color w:val="333333"/>
          <w:sz w:val="32"/>
          <w:szCs w:val="32"/>
          <w:u w:val="single"/>
          <w:shd w:fill="FFFFFF" w:val="clear"/>
        </w:rPr>
        <w:t>faceret</w:t>
      </w:r>
      <w:r>
        <w:rPr>
          <w:rFonts w:cs="Times New Roman" w:ascii="Times New Roman" w:hAnsi="Times New Roman"/>
          <w:color w:val="333333"/>
          <w:sz w:val="32"/>
          <w:szCs w:val="32"/>
          <w:shd w:fill="FFFFFF" w:val="clear"/>
        </w:rPr>
        <w:t>.'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(Cic.,</w:t>
      </w:r>
      <w:r>
        <w:rPr>
          <w:rFonts w:cs="Times New Roman" w:ascii="Times New Roman" w:hAnsi="Times New Roman"/>
          <w:i/>
          <w:iCs/>
        </w:rPr>
        <w:t xml:space="preserve"> In Verrem</w:t>
      </w:r>
      <w:r>
        <w:rPr>
          <w:rFonts w:cs="Times New Roman" w:ascii="Times New Roman" w:hAnsi="Times New Roman"/>
        </w:rPr>
        <w:t>, II, 5, 141)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(1)</w:t>
      </w:r>
      <w:r>
        <w:rPr>
          <w:rFonts w:cs="Times New Roman" w:ascii="Times New Roman" w:hAnsi="Times New Roman"/>
          <w:sz w:val="24"/>
          <w:szCs w:val="24"/>
        </w:rPr>
        <w:t xml:space="preserve"> Leia atentamente o excerto acima. Lembre-se de lê-lo integralmente antes de fazer a tradução dos trechos requeridos. Atente para o que se pede para cada um dos períodos iniciados com as letras maiúsculas (A), (B), (C) e (D).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(2)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Traduza</w:t>
      </w:r>
      <w:r>
        <w:rPr>
          <w:rFonts w:cs="Times New Roman" w:ascii="Times New Roman" w:hAnsi="Times New Roman"/>
          <w:sz w:val="24"/>
          <w:szCs w:val="24"/>
        </w:rPr>
        <w:t xml:space="preserve"> somente os períodos </w:t>
      </w:r>
      <w:r>
        <w:rPr>
          <w:rFonts w:cs="Times New Roman" w:ascii="Times New Roman" w:hAnsi="Times New Roman"/>
          <w:b/>
          <w:bCs/>
          <w:sz w:val="24"/>
          <w:szCs w:val="24"/>
        </w:rPr>
        <w:t>(B)</w:t>
      </w:r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>
          <w:rFonts w:cs="Times New Roman" w:ascii="Times New Roman" w:hAnsi="Times New Roman"/>
          <w:b/>
          <w:bCs/>
          <w:sz w:val="24"/>
          <w:szCs w:val="24"/>
        </w:rPr>
        <w:t>(C)</w:t>
      </w:r>
      <w:r>
        <w:rPr>
          <w:rFonts w:cs="Times New Roman" w:ascii="Times New Roman" w:hAnsi="Times New Roman"/>
          <w:sz w:val="24"/>
          <w:szCs w:val="24"/>
        </w:rPr>
        <w:t>. Outros períodos traduzidos não serão corrigidos.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(3)</w:t>
      </w:r>
      <w:r>
        <w:rPr>
          <w:rFonts w:cs="Times New Roman" w:ascii="Times New Roman" w:hAnsi="Times New Roman"/>
          <w:sz w:val="24"/>
          <w:szCs w:val="24"/>
        </w:rPr>
        <w:t xml:space="preserve"> No período </w:t>
      </w:r>
      <w:r>
        <w:rPr>
          <w:rFonts w:cs="Times New Roman" w:ascii="Times New Roman" w:hAnsi="Times New Roman"/>
          <w:b/>
          <w:bCs/>
          <w:sz w:val="24"/>
          <w:szCs w:val="24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</w:rPr>
        <w:t>classifique sintaticamente</w:t>
      </w:r>
      <w:r>
        <w:rPr>
          <w:rFonts w:cs="Times New Roman" w:ascii="Times New Roman" w:hAnsi="Times New Roman"/>
          <w:sz w:val="24"/>
          <w:szCs w:val="24"/>
        </w:rPr>
        <w:t xml:space="preserve"> os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termos grifados e em negrito</w:t>
      </w:r>
      <w:r>
        <w:rPr>
          <w:rFonts w:cs="Times New Roman" w:ascii="Times New Roman" w:hAnsi="Times New Roman"/>
          <w:sz w:val="24"/>
          <w:szCs w:val="24"/>
        </w:rPr>
        <w:t xml:space="preserve">, de acordo com a </w:t>
      </w:r>
      <w:r>
        <w:rPr>
          <w:rFonts w:cs="Times New Roman" w:ascii="Times New Roman" w:hAnsi="Times New Roman"/>
          <w:b/>
          <w:bCs/>
          <w:sz w:val="24"/>
          <w:szCs w:val="24"/>
        </w:rPr>
        <w:t>gramática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latina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(4)</w:t>
      </w:r>
      <w:r>
        <w:rPr>
          <w:rFonts w:cs="Times New Roman" w:ascii="Times New Roman" w:hAnsi="Times New Roman"/>
          <w:sz w:val="24"/>
          <w:szCs w:val="24"/>
        </w:rPr>
        <w:t xml:space="preserve"> Nos períodos </w:t>
      </w:r>
      <w:r>
        <w:rPr>
          <w:rFonts w:cs="Times New Roman" w:ascii="Times New Roman" w:hAnsi="Times New Roman"/>
          <w:b/>
          <w:bCs/>
          <w:sz w:val="24"/>
          <w:szCs w:val="24"/>
        </w:rPr>
        <w:t>(B)</w:t>
      </w:r>
      <w:r>
        <w:rPr>
          <w:rFonts w:cs="Times New Roman" w:ascii="Times New Roman" w:hAnsi="Times New Roman"/>
          <w:sz w:val="24"/>
          <w:szCs w:val="24"/>
        </w:rPr>
        <w:t xml:space="preserve"> e </w:t>
      </w:r>
      <w:r>
        <w:rPr>
          <w:rFonts w:cs="Times New Roman" w:ascii="Times New Roman" w:hAnsi="Times New Roman"/>
          <w:b/>
          <w:bCs/>
          <w:sz w:val="24"/>
          <w:szCs w:val="24"/>
        </w:rPr>
        <w:t>(C)</w:t>
      </w:r>
      <w:r>
        <w:rPr>
          <w:rFonts w:cs="Times New Roman" w:ascii="Times New Roman" w:hAnsi="Times New Roman"/>
          <w:sz w:val="24"/>
          <w:szCs w:val="24"/>
        </w:rPr>
        <w:t xml:space="preserve">, identifique o tempo, modo e voz das </w:t>
      </w:r>
      <w:r>
        <w:rPr>
          <w:rFonts w:cs="Times New Roman" w:ascii="Times New Roman" w:hAnsi="Times New Roman"/>
          <w:b/>
          <w:bCs/>
          <w:sz w:val="24"/>
          <w:szCs w:val="24"/>
        </w:rPr>
        <w:t>formas verbais em vermelho</w:t>
      </w:r>
      <w:r>
        <w:rPr>
          <w:rFonts w:cs="Times New Roman" w:ascii="Times New Roman" w:hAnsi="Times New Roman"/>
          <w:sz w:val="24"/>
          <w:szCs w:val="24"/>
        </w:rPr>
        <w:t xml:space="preserve"> e as substitua por um verbo de mesma voz à sua escolha. Atente para o número, pessoa, tempo e modo em que estão empregados nos excertos de origem.   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1702"/>
        <w:gridCol w:w="1403"/>
        <w:gridCol w:w="1692"/>
        <w:gridCol w:w="1576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Forma Verbal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Tempo</w:t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Modo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Voz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Substituição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ignoscite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Requiram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Locutus erat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Renuntiatum est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Iubet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Promittere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  <w:t>uenitur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(5)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Nos períodos (C) e (D), classifique as orações dos períodos em</w:t>
      </w:r>
      <w:r>
        <w:rPr/>
        <w:t xml:space="preserve"> </w:t>
      </w:r>
      <w:r>
        <w:rPr>
          <w:rFonts w:ascii="Goudy Stout" w:hAnsi="Goudy Stout"/>
          <w:sz w:val="28"/>
          <w:szCs w:val="28"/>
        </w:rPr>
        <w:t>Goudy</w:t>
      </w:r>
      <w:r>
        <w:rPr>
          <w:rFonts w:ascii="Goudy Stout" w:hAnsi="Goudy Stout"/>
          <w:sz w:val="24"/>
          <w:szCs w:val="24"/>
        </w:rPr>
        <w:t xml:space="preserve"> </w:t>
      </w:r>
      <w:r>
        <w:rPr>
          <w:rFonts w:ascii="Goudy Stout" w:hAnsi="Goudy Stout"/>
          <w:sz w:val="28"/>
          <w:szCs w:val="28"/>
        </w:rPr>
        <w:t>Stout</w:t>
      </w:r>
      <w:r>
        <w:rPr>
          <w:rFonts w:ascii="Goudy Stout" w:hAnsi="Goudy Stou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(fonte). Lembre-se de dividir as orações dos períodos, apontando quais as </w:t>
      </w:r>
      <w:r>
        <w:rPr>
          <w:rFonts w:cs="Times New Roman" w:ascii="Times New Roman" w:hAnsi="Times New Roman"/>
          <w:sz w:val="28"/>
          <w:szCs w:val="28"/>
        </w:rPr>
        <w:t>regentes</w:t>
      </w:r>
      <w:r>
        <w:rPr>
          <w:rFonts w:cs="Times New Roman" w:ascii="Times New Roman" w:hAnsi="Times New Roman"/>
          <w:sz w:val="24"/>
          <w:szCs w:val="24"/>
        </w:rPr>
        <w:t xml:space="preserve"> (oração principal), quais as regidas (subordinadas) e as estruturas próprias do latim (a.c.i.), se houver.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Stout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semiHidden/>
    <w:unhideWhenUsed/>
    <w:rsid w:val="0040216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52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LibreOffice/7.5.7.1$Windows_X86_64 LibreOffice_project/47eb0cf7efbacdee9b19ae25d6752381ede23126</Application>
  <AppVersion>15.0000</AppVersion>
  <Pages>3</Pages>
  <Words>278</Words>
  <Characters>1486</Characters>
  <CharactersWithSpaces>1749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2023-11-28T22:27:00Z</dcterms:created>
  <dc:creator>marly de bari matos</dc:creator>
  <dc:description/>
  <dc:language>pt-BR</dc:language>
  <cp:lastModifiedBy/>
  <dcterms:modified xsi:type="dcterms:W3CDTF">2023-11-29T11:54:03Z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