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Roboto" w:cs="Roboto" w:eastAsia="Roboto" w:hAnsi="Roboto"/>
          <w:color w:val="1d212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1d2125"/>
          <w:sz w:val="23"/>
          <w:szCs w:val="23"/>
          <w:rtl w:val="0"/>
        </w:rPr>
        <w:t xml:space="preserve">VIGGIANO, E.; MATTOS, C. R. A methodology to assess conceptual profiles within context delimitation. In: ÇAKMAKCI, G.; TSAR, M. F. (org.). Contemporary science education research: learning and assessment. Istambul: Pegem Akademi, 2010. p. 431–438. E-book. Disponível em: </w:t>
      </w:r>
      <w:hyperlink r:id="rId6">
        <w:r w:rsidDel="00000000" w:rsidR="00000000" w:rsidRPr="00000000">
          <w:rPr>
            <w:rFonts w:ascii="Roboto" w:cs="Roboto" w:eastAsia="Roboto" w:hAnsi="Roboto"/>
            <w:color w:val="0f6cbf"/>
            <w:sz w:val="23"/>
            <w:szCs w:val="23"/>
            <w:rtl w:val="0"/>
          </w:rPr>
          <w:t xml:space="preserve">https://purehost.bath.ac.uk/ws/portalfiles/portal/198553844/Book4.pdf</w:t>
        </w:r>
      </w:hyperlink>
      <w:r w:rsidDel="00000000" w:rsidR="00000000" w:rsidRPr="00000000">
        <w:rPr>
          <w:rFonts w:ascii="Roboto" w:cs="Roboto" w:eastAsia="Roboto" w:hAnsi="Roboto"/>
          <w:color w:val="1d2125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Roboto" w:cs="Roboto" w:eastAsia="Roboto" w:hAnsi="Roboto"/>
          <w:color w:val="1d212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1d2125"/>
          <w:sz w:val="23"/>
          <w:szCs w:val="23"/>
          <w:rtl w:val="0"/>
        </w:rPr>
        <w:t xml:space="preserve">VIGGIANO, E. Uma proposta de levantamento de perfis conceituais de ensinar e aprender. 2008. 250 f. - Biblioteca Digital de Teses e Dissertações da Universidade de São Paulo, São Paulo, 2008. Disponível em: </w:t>
      </w:r>
      <w:hyperlink r:id="rId7">
        <w:r w:rsidDel="00000000" w:rsidR="00000000" w:rsidRPr="00000000">
          <w:rPr>
            <w:rFonts w:ascii="Roboto" w:cs="Roboto" w:eastAsia="Roboto" w:hAnsi="Roboto"/>
            <w:color w:val="0f6cbf"/>
            <w:sz w:val="23"/>
            <w:szCs w:val="23"/>
            <w:rtl w:val="0"/>
          </w:rPr>
          <w:t xml:space="preserve">http://www.teses.usp.br/teses/disponiveis/81/81131/tde-12022009-140818/</w:t>
        </w:r>
      </w:hyperlink>
      <w:r w:rsidDel="00000000" w:rsidR="00000000" w:rsidRPr="00000000">
        <w:rPr>
          <w:rFonts w:ascii="Roboto" w:cs="Roboto" w:eastAsia="Roboto" w:hAnsi="Roboto"/>
          <w:color w:val="1d2125"/>
          <w:sz w:val="23"/>
          <w:szCs w:val="23"/>
          <w:rtl w:val="0"/>
        </w:rPr>
        <w:t xml:space="preserve">. Acesso em: 16 set. 2016.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Roboto" w:cs="Roboto" w:eastAsia="Roboto" w:hAnsi="Roboto"/>
          <w:color w:val="1d2125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1d2125"/>
          <w:sz w:val="23"/>
          <w:szCs w:val="23"/>
          <w:rtl w:val="0"/>
        </w:rPr>
        <w:t xml:space="preserve">CRESWELL, J. W. Projeto de Pesquisa: métodos qualitavivo, quantitativo e misto. 3a.ed.ed. Porto Alegre: Artmed, 2009.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urehost.bath.ac.uk/ws/portalfiles/portal/198553844/Book4.pdf" TargetMode="External"/><Relationship Id="rId7" Type="http://schemas.openxmlformats.org/officeDocument/2006/relationships/hyperlink" Target="http://www.teses.usp.br/teses/disponiveis/81/81131/tde-12022009-140818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