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129B" w14:textId="03512968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</w:t>
      </w:r>
      <w:r w:rsidR="001A3AB4">
        <w:rPr>
          <w:b/>
          <w:sz w:val="28"/>
          <w:u w:val="single"/>
        </w:rPr>
        <w:t>22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593FBBB9" w14:textId="77777777" w:rsidTr="00D63835">
        <w:trPr>
          <w:cantSplit/>
          <w:jc w:val="center"/>
        </w:trPr>
        <w:tc>
          <w:tcPr>
            <w:tcW w:w="1204" w:type="dxa"/>
            <w:vAlign w:val="center"/>
          </w:tcPr>
          <w:p w14:paraId="6CA955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733CCAC" w14:textId="79CCCDD2" w:rsidR="008B3399" w:rsidRDefault="00AD6B20" w:rsidP="00AD6B2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Arquitetura para</w:t>
            </w:r>
            <w:r w:rsidR="00E55997">
              <w:rPr>
                <w:sz w:val="24"/>
              </w:rPr>
              <w:t xml:space="preserve"> acessibilidade econômica </w:t>
            </w:r>
            <w:r w:rsidR="0031270F">
              <w:rPr>
                <w:sz w:val="24"/>
              </w:rPr>
              <w:t xml:space="preserve">de </w:t>
            </w:r>
            <w:r>
              <w:rPr>
                <w:sz w:val="24"/>
              </w:rPr>
              <w:t>BESS para consumidor final</w:t>
            </w:r>
          </w:p>
        </w:tc>
      </w:tr>
      <w:tr w:rsidR="008B3399" w14:paraId="25A261EB" w14:textId="77777777" w:rsidTr="00D63835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7D118EDB" w14:textId="7D9F294C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933FA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79EBAD32" w14:textId="77777777">
        <w:trPr>
          <w:cantSplit/>
          <w:jc w:val="center"/>
        </w:trPr>
        <w:tc>
          <w:tcPr>
            <w:tcW w:w="1878" w:type="dxa"/>
            <w:vAlign w:val="center"/>
          </w:tcPr>
          <w:p w14:paraId="68FE986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28947D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14:paraId="51D52B51" w14:textId="5F85752C" w:rsidR="008B3399" w:rsidRDefault="00066AB4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Miguel Edgar Morales Udaeta</w:t>
            </w:r>
          </w:p>
        </w:tc>
      </w:tr>
    </w:tbl>
    <w:p w14:paraId="61605125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7BCA0D1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4715ED8E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4736C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5A0C5F9B" w14:textId="6FFA6F57" w:rsidR="008B3399" w:rsidRDefault="00525199" w:rsidP="00AD6B2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 w:rsidR="00724DE3">
              <w:rPr>
                <w:sz w:val="24"/>
              </w:rPr>
              <w:t>a</w:t>
            </w:r>
            <w:r>
              <w:rPr>
                <w:sz w:val="24"/>
              </w:rPr>
              <w:t>lis</w:t>
            </w:r>
            <w:r w:rsidR="00AD6B20">
              <w:rPr>
                <w:sz w:val="24"/>
              </w:rPr>
              <w:t>ar</w:t>
            </w:r>
            <w:r>
              <w:rPr>
                <w:sz w:val="24"/>
              </w:rPr>
              <w:t xml:space="preserve"> possíveis subsídios</w:t>
            </w:r>
            <w:r w:rsidR="00C2073B">
              <w:rPr>
                <w:sz w:val="24"/>
              </w:rPr>
              <w:t xml:space="preserve"> e financiadores para a viabilidade</w:t>
            </w:r>
          </w:p>
        </w:tc>
      </w:tr>
      <w:tr w:rsidR="008B3399" w14:paraId="5953A39B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0A722DCC" w14:textId="4A048347" w:rsidR="008B3399" w:rsidRDefault="00C2073B" w:rsidP="00AD6B2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econômica de obtenção e operação </w:t>
            </w:r>
            <w:r w:rsidR="006E552C">
              <w:rPr>
                <w:sz w:val="24"/>
              </w:rPr>
              <w:t>de</w:t>
            </w:r>
            <w:r w:rsidR="00AD6B20">
              <w:rPr>
                <w:sz w:val="24"/>
              </w:rPr>
              <w:t xml:space="preserve"> baterias por </w:t>
            </w:r>
            <w:r w:rsidR="00DC71DA">
              <w:rPr>
                <w:sz w:val="24"/>
              </w:rPr>
              <w:t>geradores distribuídos</w:t>
            </w:r>
          </w:p>
        </w:tc>
      </w:tr>
      <w:tr w:rsidR="008B3399" w14:paraId="50E8855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8B8497F" w14:textId="673053CE" w:rsidR="008B3399" w:rsidRDefault="00AD6B20" w:rsidP="00AD6B2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Sistematizar pr</w:t>
            </w:r>
            <w:r w:rsidR="00DC71DA">
              <w:rPr>
                <w:sz w:val="24"/>
              </w:rPr>
              <w:t>o</w:t>
            </w:r>
            <w:r>
              <w:rPr>
                <w:sz w:val="24"/>
              </w:rPr>
              <w:t>cedimentos conhecidos de subsídios e incentivos tributários.</w:t>
            </w:r>
          </w:p>
        </w:tc>
      </w:tr>
      <w:tr w:rsidR="008B3399" w14:paraId="1C3F7EE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821F" w14:textId="07ACF18F" w:rsidR="008B3399" w:rsidRDefault="00DC71D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Classificar demanda para sistemas de armazenamento</w:t>
            </w:r>
          </w:p>
        </w:tc>
      </w:tr>
    </w:tbl>
    <w:p w14:paraId="4AF3709B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88"/>
        <w:gridCol w:w="339"/>
        <w:gridCol w:w="425"/>
        <w:gridCol w:w="5953"/>
      </w:tblGrid>
      <w:tr w:rsidR="008B3399" w14:paraId="145731CD" w14:textId="77777777" w:rsidTr="00D63835">
        <w:trPr>
          <w:cantSplit/>
          <w:jc w:val="center"/>
        </w:trPr>
        <w:tc>
          <w:tcPr>
            <w:tcW w:w="1204" w:type="dxa"/>
            <w:vAlign w:val="center"/>
          </w:tcPr>
          <w:p w14:paraId="7833C63E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4  METAS</w:t>
            </w:r>
          </w:p>
        </w:tc>
        <w:tc>
          <w:tcPr>
            <w:tcW w:w="8505" w:type="dxa"/>
            <w:gridSpan w:val="4"/>
            <w:vAlign w:val="center"/>
          </w:tcPr>
          <w:p w14:paraId="754933DA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14:paraId="2ED6D2F7" w14:textId="77777777" w:rsidTr="00D63835">
        <w:trPr>
          <w:jc w:val="center"/>
        </w:trPr>
        <w:tc>
          <w:tcPr>
            <w:tcW w:w="1204" w:type="dxa"/>
            <w:vAlign w:val="center"/>
          </w:tcPr>
          <w:p w14:paraId="701E45D5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469FDB4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0136D004" w14:textId="64B7A734" w:rsidR="008B3399" w:rsidRDefault="00AD6B20" w:rsidP="00B7218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Desenvolvimento do Estado da Arte </w:t>
            </w:r>
            <w:r w:rsidR="00B72180">
              <w:rPr>
                <w:sz w:val="24"/>
              </w:rPr>
              <w:t>na aplicação de BESS do lado da demanda nos diferentes setores de consumo</w:t>
            </w:r>
          </w:p>
        </w:tc>
      </w:tr>
      <w:tr w:rsidR="008B3399" w14:paraId="28370D6F" w14:textId="77777777" w:rsidTr="00D63835">
        <w:trPr>
          <w:cantSplit/>
          <w:jc w:val="center"/>
        </w:trPr>
        <w:tc>
          <w:tcPr>
            <w:tcW w:w="1204" w:type="dxa"/>
            <w:vAlign w:val="center"/>
          </w:tcPr>
          <w:p w14:paraId="0268195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6EA0C1C8" w14:textId="4D000C2D" w:rsidR="008B3399" w:rsidRDefault="00B7218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Estruturar método de cálculo de subsídios e tarifas</w:t>
            </w:r>
          </w:p>
        </w:tc>
      </w:tr>
      <w:tr w:rsidR="008B3399" w14:paraId="3F337B77" w14:textId="77777777" w:rsidTr="00D63835">
        <w:trPr>
          <w:cantSplit/>
          <w:jc w:val="center"/>
        </w:trPr>
        <w:tc>
          <w:tcPr>
            <w:tcW w:w="1204" w:type="dxa"/>
            <w:vAlign w:val="center"/>
          </w:tcPr>
          <w:p w14:paraId="630B202E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3CDE822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6B3D2E19" w14:textId="77777777" w:rsidTr="00D63835">
        <w:trPr>
          <w:jc w:val="center"/>
        </w:trPr>
        <w:tc>
          <w:tcPr>
            <w:tcW w:w="1204" w:type="dxa"/>
            <w:vAlign w:val="center"/>
          </w:tcPr>
          <w:p w14:paraId="35145CA6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9330CAA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6679D715" w14:textId="77F4B8CB" w:rsidR="008B3399" w:rsidRDefault="00AD6B20" w:rsidP="00AD6B2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Modelagem procedimental</w:t>
            </w:r>
            <w:r w:rsidR="00BE527B">
              <w:rPr>
                <w:sz w:val="24"/>
              </w:rPr>
              <w:t xml:space="preserve"> das possibilidades de </w:t>
            </w:r>
            <w:r w:rsidR="008A7D79">
              <w:rPr>
                <w:sz w:val="24"/>
              </w:rPr>
              <w:t>subsídios</w:t>
            </w:r>
          </w:p>
        </w:tc>
      </w:tr>
      <w:tr w:rsidR="008B3399" w14:paraId="7C0E9511" w14:textId="77777777" w:rsidTr="00D63835">
        <w:trPr>
          <w:cantSplit/>
          <w:jc w:val="center"/>
        </w:trPr>
        <w:tc>
          <w:tcPr>
            <w:tcW w:w="1204" w:type="dxa"/>
            <w:vAlign w:val="center"/>
          </w:tcPr>
          <w:p w14:paraId="251E5D6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18F14C73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21E3A64E" w14:textId="77777777" w:rsidTr="00D63835">
        <w:trPr>
          <w:cantSplit/>
          <w:jc w:val="center"/>
        </w:trPr>
        <w:tc>
          <w:tcPr>
            <w:tcW w:w="1204" w:type="dxa"/>
            <w:vAlign w:val="center"/>
          </w:tcPr>
          <w:p w14:paraId="56799D5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12960FAA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73E687F8" w14:textId="77777777" w:rsidTr="00D63835">
        <w:trPr>
          <w:cantSplit/>
          <w:jc w:val="center"/>
        </w:trPr>
        <w:tc>
          <w:tcPr>
            <w:tcW w:w="2992" w:type="dxa"/>
            <w:gridSpan w:val="2"/>
            <w:vAlign w:val="center"/>
          </w:tcPr>
          <w:p w14:paraId="1BE529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1679D32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  <w:vAlign w:val="center"/>
          </w:tcPr>
          <w:p w14:paraId="3F066892" w14:textId="2B4D913E" w:rsidR="008B3399" w:rsidRDefault="0065160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Análise da viabilidade econômica de </w:t>
            </w:r>
            <w:r w:rsidR="007C2E09">
              <w:rPr>
                <w:sz w:val="24"/>
              </w:rPr>
              <w:t>subsídios</w:t>
            </w:r>
            <w:r w:rsidR="00F15314">
              <w:rPr>
                <w:sz w:val="24"/>
              </w:rPr>
              <w:t xml:space="preserve"> e</w:t>
            </w:r>
            <w:r w:rsidR="007C2E09">
              <w:rPr>
                <w:sz w:val="24"/>
              </w:rPr>
              <w:t xml:space="preserve"> incentivos fiscais </w:t>
            </w:r>
          </w:p>
        </w:tc>
      </w:tr>
      <w:tr w:rsidR="008B3399" w14:paraId="5A048D3F" w14:textId="77777777" w:rsidTr="00D63835">
        <w:trPr>
          <w:cantSplit/>
          <w:jc w:val="center"/>
        </w:trPr>
        <w:tc>
          <w:tcPr>
            <w:tcW w:w="9709" w:type="dxa"/>
            <w:gridSpan w:val="5"/>
            <w:vAlign w:val="center"/>
          </w:tcPr>
          <w:p w14:paraId="6DFB3A9D" w14:textId="761E4108" w:rsidR="008B3399" w:rsidRDefault="00D45C0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 cálculo </w:t>
            </w:r>
            <w:r w:rsidR="00036E08">
              <w:rPr>
                <w:sz w:val="24"/>
              </w:rPr>
              <w:t xml:space="preserve">da infraestrutura de armazenamento frente aos valores </w:t>
            </w:r>
            <w:r w:rsidR="00242BB1">
              <w:rPr>
                <w:sz w:val="24"/>
              </w:rPr>
              <w:t>de tarifa de energia elétrica.</w:t>
            </w:r>
          </w:p>
        </w:tc>
      </w:tr>
      <w:tr w:rsidR="008B3399" w14:paraId="02169823" w14:textId="77777777" w:rsidTr="00D63835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7BAB9F9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B3399" w14:paraId="54A86968" w14:textId="77777777" w:rsidTr="00D63835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37D72B6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DC13FC9" w14:textId="77777777" w:rsidTr="00D63835">
        <w:trPr>
          <w:cantSplit/>
          <w:jc w:val="center"/>
        </w:trPr>
        <w:tc>
          <w:tcPr>
            <w:tcW w:w="3756" w:type="dxa"/>
            <w:gridSpan w:val="4"/>
            <w:vAlign w:val="center"/>
          </w:tcPr>
          <w:p w14:paraId="6815EA0A" w14:textId="060C7E30" w:rsidR="008B3399" w:rsidRDefault="008B3399" w:rsidP="00CA568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CA5683">
              <w:rPr>
                <w:sz w:val="24"/>
              </w:rPr>
              <w:t xml:space="preserve"> </w:t>
            </w: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BC05D1F" w14:textId="3D9F1BBF" w:rsidR="008B3399" w:rsidRDefault="000D7A52" w:rsidP="006D72F6">
            <w:pPr>
              <w:jc w:val="both"/>
              <w:rPr>
                <w:sz w:val="24"/>
              </w:rPr>
            </w:pPr>
            <w:r>
              <w:rPr>
                <w:sz w:val="24"/>
              </w:rPr>
              <w:t>1 e/</w:t>
            </w:r>
            <w:bookmarkStart w:id="0" w:name="_GoBack"/>
            <w:bookmarkEnd w:id="0"/>
            <w:r>
              <w:rPr>
                <w:sz w:val="24"/>
              </w:rPr>
              <w:t xml:space="preserve">ou </w:t>
            </w:r>
            <w:r w:rsidR="006D72F6">
              <w:rPr>
                <w:sz w:val="24"/>
              </w:rPr>
              <w:t>2</w:t>
            </w:r>
          </w:p>
        </w:tc>
      </w:tr>
    </w:tbl>
    <w:p w14:paraId="49B8CD7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 w:rsidRPr="00CA5683" w14:paraId="4193CA76" w14:textId="77777777" w:rsidTr="00D63835">
        <w:trPr>
          <w:cantSplit/>
          <w:jc w:val="center"/>
        </w:trPr>
        <w:tc>
          <w:tcPr>
            <w:tcW w:w="3331" w:type="dxa"/>
            <w:gridSpan w:val="2"/>
          </w:tcPr>
          <w:p w14:paraId="529F2D9A" w14:textId="5D84624B" w:rsidR="008B3399" w:rsidRDefault="008B3399" w:rsidP="00CA568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CA5683">
              <w:rPr>
                <w:sz w:val="24"/>
              </w:rPr>
              <w:t xml:space="preserve"> </w:t>
            </w: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</w:tcPr>
          <w:p w14:paraId="31AF0711" w14:textId="28AD1544" w:rsidR="00CA5683" w:rsidRPr="00CA5683" w:rsidRDefault="00CA5683" w:rsidP="00D63835">
            <w:pPr>
              <w:pStyle w:val="Bibliografa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A56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DAGLISH, Toby. Consumer governance in electricity markets. </w:t>
            </w:r>
            <w:r w:rsidRPr="00D6383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Energy Economics</w:t>
            </w:r>
            <w:r w:rsidRPr="00D6383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, v. 56, p. 326-337, 2016.</w:t>
            </w:r>
          </w:p>
          <w:p w14:paraId="7CD1A879" w14:textId="59DA95BB" w:rsidR="00D26C8C" w:rsidRPr="00CA5683" w:rsidRDefault="00D26C8C" w:rsidP="00D63835">
            <w:pPr>
              <w:pStyle w:val="Bibliografa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A568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GISSEY, G. C.; DODDS, P. E.; RADCLIFFE, J. Market and regulatory barriers to electrical energy storage innovation. </w:t>
            </w:r>
            <w:r w:rsidRPr="00CA568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Renewable and Sustainable Energy Reviews</w:t>
            </w:r>
            <w:r w:rsidRPr="00CA568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 82, 2018. 781-790.</w:t>
            </w:r>
          </w:p>
          <w:p w14:paraId="3FA53FF7" w14:textId="77777777" w:rsidR="008B3399" w:rsidRPr="00CA5683" w:rsidRDefault="008B3399" w:rsidP="00D63835">
            <w:pPr>
              <w:jc w:val="both"/>
              <w:rPr>
                <w:lang w:val="en-US"/>
              </w:rPr>
            </w:pPr>
          </w:p>
        </w:tc>
      </w:tr>
      <w:tr w:rsidR="008B3399" w:rsidRPr="000D7A52" w14:paraId="4B3F2313" w14:textId="77777777" w:rsidTr="00D63835">
        <w:trPr>
          <w:cantSplit/>
          <w:jc w:val="center"/>
        </w:trPr>
        <w:tc>
          <w:tcPr>
            <w:tcW w:w="9709" w:type="dxa"/>
            <w:gridSpan w:val="3"/>
          </w:tcPr>
          <w:p w14:paraId="10C69BD8" w14:textId="77777777" w:rsidR="00D26C8C" w:rsidRPr="00CA5683" w:rsidRDefault="00D26C8C" w:rsidP="00D63835">
            <w:pPr>
              <w:pStyle w:val="Bibliografa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A568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HAMELINK, M.; OPDENAKKER, R. How business model innovation affects firm performance in the energy storage market. </w:t>
            </w:r>
            <w:r w:rsidRPr="00CA568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Renewable Energy</w:t>
            </w:r>
            <w:r w:rsidRPr="00CA568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 131, 2019. 120-127.</w:t>
            </w:r>
          </w:p>
          <w:p w14:paraId="2E556FC8" w14:textId="77777777" w:rsidR="00D26C8C" w:rsidRPr="00CA5683" w:rsidRDefault="00D26C8C" w:rsidP="00D63835">
            <w:pPr>
              <w:pStyle w:val="Bibliografa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A568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HARTMANN, B.; DIVÉNYI, D.; VOKON, I. Evaluation of business possibilities of energy storage at commercial and industrial consumers - a case study. </w:t>
            </w:r>
            <w:r w:rsidRPr="00CA568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Applied Energy</w:t>
            </w:r>
            <w:r w:rsidRPr="00CA568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 2018. 59-66.</w:t>
            </w:r>
          </w:p>
          <w:p w14:paraId="5DCAE1A3" w14:textId="3ABBC7A4" w:rsidR="008B3399" w:rsidRPr="00CA5683" w:rsidRDefault="00D26C8C" w:rsidP="00D63835">
            <w:pPr>
              <w:pStyle w:val="Bibliografa"/>
              <w:spacing w:after="0" w:line="240" w:lineRule="auto"/>
              <w:rPr>
                <w:noProof/>
                <w:lang w:val="en-US"/>
              </w:rPr>
            </w:pPr>
            <w:r w:rsidRPr="00CA568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MASIELO, R. D.; ROBERTS, B.; SLOAN, T. Business Models for Deploying and Operating Energy Storage and Risk Mitigation Aspects. </w:t>
            </w:r>
            <w:r w:rsidRPr="00CA568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Proceedings of the IEEE</w:t>
            </w:r>
            <w:r w:rsidRPr="00CA568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 v. 102, n. 2, p. 1052-1064, July 2014. Acesso em: 9 abr 2021.</w:t>
            </w:r>
          </w:p>
        </w:tc>
      </w:tr>
      <w:tr w:rsidR="008B3399" w:rsidRPr="000D7A52" w14:paraId="129E509B" w14:textId="77777777" w:rsidTr="00D63835">
        <w:trPr>
          <w:cantSplit/>
          <w:jc w:val="center"/>
        </w:trPr>
        <w:tc>
          <w:tcPr>
            <w:tcW w:w="9709" w:type="dxa"/>
            <w:gridSpan w:val="3"/>
          </w:tcPr>
          <w:p w14:paraId="50316937" w14:textId="77777777" w:rsidR="008B3399" w:rsidRPr="00D26C8C" w:rsidRDefault="008B3399" w:rsidP="00D63835">
            <w:pPr>
              <w:jc w:val="both"/>
              <w:rPr>
                <w:sz w:val="24"/>
                <w:lang w:val="en-US"/>
              </w:rPr>
            </w:pPr>
          </w:p>
        </w:tc>
      </w:tr>
      <w:tr w:rsidR="008B3399" w14:paraId="071A8D90" w14:textId="77777777" w:rsidTr="00D63835">
        <w:trPr>
          <w:cantSplit/>
          <w:jc w:val="center"/>
        </w:trPr>
        <w:tc>
          <w:tcPr>
            <w:tcW w:w="2992" w:type="dxa"/>
          </w:tcPr>
          <w:p w14:paraId="7A448AE3" w14:textId="3B24563D" w:rsidR="008B3399" w:rsidRDefault="008B3399" w:rsidP="00CA568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CA5683">
              <w:rPr>
                <w:sz w:val="24"/>
              </w:rPr>
              <w:t xml:space="preserve"> </w:t>
            </w:r>
            <w:r>
              <w:rPr>
                <w:sz w:val="24"/>
              </w:rPr>
              <w:t>LINHA DE  PESQUISA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</w:tcPr>
          <w:p w14:paraId="3291313C" w14:textId="01A984BF" w:rsidR="008B3399" w:rsidRDefault="00D63835" w:rsidP="00D6383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PIR (</w:t>
            </w:r>
            <w:r w:rsidR="007C7F07">
              <w:rPr>
                <w:sz w:val="24"/>
              </w:rPr>
              <w:t>P</w:t>
            </w:r>
            <w:r w:rsidR="00CA5683">
              <w:rPr>
                <w:sz w:val="24"/>
              </w:rPr>
              <w:t xml:space="preserve">lanejamento </w:t>
            </w:r>
            <w:r w:rsidR="007C7F07">
              <w:rPr>
                <w:sz w:val="24"/>
              </w:rPr>
              <w:t>I</w:t>
            </w:r>
            <w:r w:rsidR="00CA5683">
              <w:rPr>
                <w:sz w:val="24"/>
              </w:rPr>
              <w:t xml:space="preserve">ntegrado de </w:t>
            </w:r>
            <w:r w:rsidR="007C7F07">
              <w:rPr>
                <w:sz w:val="24"/>
              </w:rPr>
              <w:t>R</w:t>
            </w:r>
            <w:r w:rsidR="00CA5683">
              <w:rPr>
                <w:sz w:val="24"/>
              </w:rPr>
              <w:t>ecursos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energeticos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20B57AB9" w14:textId="77777777"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zY0NrW0NDIztDRS0lEKTi0uzszPAykwrAUAD0SfbywAAAA="/>
  </w:docVars>
  <w:rsids>
    <w:rsidRoot w:val="00983ACD"/>
    <w:rsid w:val="00036E08"/>
    <w:rsid w:val="00066AB4"/>
    <w:rsid w:val="0007497F"/>
    <w:rsid w:val="000D7A52"/>
    <w:rsid w:val="001A2EE9"/>
    <w:rsid w:val="001A3AB4"/>
    <w:rsid w:val="002166F6"/>
    <w:rsid w:val="00242BB1"/>
    <w:rsid w:val="00274BE4"/>
    <w:rsid w:val="002F18C1"/>
    <w:rsid w:val="00300E59"/>
    <w:rsid w:val="0031270F"/>
    <w:rsid w:val="004558EF"/>
    <w:rsid w:val="004C6C07"/>
    <w:rsid w:val="00525199"/>
    <w:rsid w:val="0065160D"/>
    <w:rsid w:val="006D72F6"/>
    <w:rsid w:val="006E552C"/>
    <w:rsid w:val="00724DE3"/>
    <w:rsid w:val="00783E42"/>
    <w:rsid w:val="007C2E09"/>
    <w:rsid w:val="007C7F07"/>
    <w:rsid w:val="00815D80"/>
    <w:rsid w:val="008734B7"/>
    <w:rsid w:val="008A7D79"/>
    <w:rsid w:val="008B3399"/>
    <w:rsid w:val="00983ACD"/>
    <w:rsid w:val="00AB4E69"/>
    <w:rsid w:val="00AD6B20"/>
    <w:rsid w:val="00B62B42"/>
    <w:rsid w:val="00B72180"/>
    <w:rsid w:val="00BE527B"/>
    <w:rsid w:val="00C2073B"/>
    <w:rsid w:val="00C41BE4"/>
    <w:rsid w:val="00C87A30"/>
    <w:rsid w:val="00CA5683"/>
    <w:rsid w:val="00CC7391"/>
    <w:rsid w:val="00CD0F67"/>
    <w:rsid w:val="00D22D7B"/>
    <w:rsid w:val="00D26C8C"/>
    <w:rsid w:val="00D45C05"/>
    <w:rsid w:val="00D63835"/>
    <w:rsid w:val="00DC71DA"/>
    <w:rsid w:val="00DD654E"/>
    <w:rsid w:val="00E55997"/>
    <w:rsid w:val="00E64315"/>
    <w:rsid w:val="00EC7A4B"/>
    <w:rsid w:val="00F02377"/>
    <w:rsid w:val="00F15314"/>
    <w:rsid w:val="00F34393"/>
    <w:rsid w:val="00F37D66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A4C55"/>
  <w15:docId w15:val="{4FAB58E1-9756-49C6-AA07-D4ED4AC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Sangradetextonormal">
    <w:name w:val="Body Text Indent"/>
    <w:basedOn w:val="Normal"/>
    <w:rsid w:val="00C41BE4"/>
    <w:pPr>
      <w:ind w:left="2268"/>
    </w:pPr>
    <w:rPr>
      <w:sz w:val="24"/>
    </w:rPr>
  </w:style>
  <w:style w:type="paragraph" w:styleId="Sangra2detindependiente">
    <w:name w:val="Body Text Indent 2"/>
    <w:basedOn w:val="Normal"/>
    <w:rsid w:val="00C41BE4"/>
    <w:pPr>
      <w:ind w:left="1134"/>
    </w:pPr>
    <w:rPr>
      <w:sz w:val="24"/>
    </w:rPr>
  </w:style>
  <w:style w:type="paragraph" w:styleId="Bibliografa">
    <w:name w:val="Bibliography"/>
    <w:basedOn w:val="Normal"/>
    <w:next w:val="Normal"/>
    <w:uiPriority w:val="37"/>
    <w:unhideWhenUsed/>
    <w:rsid w:val="00D26C8C"/>
    <w:pPr>
      <w:spacing w:after="160" w:line="259" w:lineRule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72C3-D7FF-488A-B9B2-106901DB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LEGION</cp:lastModifiedBy>
  <cp:revision>4</cp:revision>
  <cp:lastPrinted>2010-02-22T09:19:00Z</cp:lastPrinted>
  <dcterms:created xsi:type="dcterms:W3CDTF">2021-12-16T18:58:00Z</dcterms:created>
  <dcterms:modified xsi:type="dcterms:W3CDTF">2021-12-16T19:05:00Z</dcterms:modified>
</cp:coreProperties>
</file>