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pPr>
      <w:r w:rsidDel="00000000" w:rsidR="00000000" w:rsidRPr="00000000">
        <w:rPr>
          <w:rtl w:val="0"/>
        </w:rPr>
      </w:r>
    </w:p>
    <w:p w:rsidR="00000000" w:rsidDel="00000000" w:rsidP="00000000" w:rsidRDefault="00000000" w:rsidRPr="00000000" w14:paraId="00000002">
      <w:pPr>
        <w:spacing w:after="0" w:lineRule="auto"/>
        <w:rPr>
          <w:rFonts w:ascii="Caveat" w:cs="Caveat" w:eastAsia="Caveat" w:hAnsi="Caveat"/>
        </w:rPr>
      </w:pPr>
      <w:r w:rsidDel="00000000" w:rsidR="00000000" w:rsidRPr="00000000">
        <w:rPr>
          <w:rtl w:val="0"/>
        </w:rPr>
      </w:r>
    </w:p>
    <w:p w:rsidR="00000000" w:rsidDel="00000000" w:rsidP="00000000" w:rsidRDefault="00000000" w:rsidRPr="00000000" w14:paraId="00000003">
      <w:pPr>
        <w:spacing w:after="120" w:before="240" w:line="240" w:lineRule="auto"/>
        <w:jc w:val="center"/>
        <w:rPr>
          <w:rFonts w:ascii="Century Gothic" w:cs="Century Gothic" w:eastAsia="Century Gothic" w:hAnsi="Century Gothic"/>
          <w:b w:val="1"/>
          <w:sz w:val="40"/>
          <w:szCs w:val="40"/>
        </w:rPr>
      </w:pPr>
      <w:bookmarkStart w:colFirst="0" w:colLast="0" w:name="_heading=h.gjdgxs" w:id="0"/>
      <w:bookmarkEnd w:id="0"/>
      <w:r w:rsidDel="00000000" w:rsidR="00000000" w:rsidRPr="00000000">
        <w:rPr>
          <w:rFonts w:ascii="Century Gothic" w:cs="Century Gothic" w:eastAsia="Century Gothic" w:hAnsi="Century Gothic"/>
          <w:b w:val="1"/>
          <w:sz w:val="40"/>
          <w:szCs w:val="40"/>
          <w:rtl w:val="0"/>
        </w:rPr>
        <w:t xml:space="preserve">“ERGUE-TE E PISOTEIA, </w:t>
      </w:r>
      <w:r w:rsidDel="00000000" w:rsidR="00000000" w:rsidRPr="00000000">
        <w:rPr>
          <w:rFonts w:ascii="Century Gothic" w:cs="Century Gothic" w:eastAsia="Century Gothic" w:hAnsi="Century Gothic"/>
          <w:b w:val="1"/>
          <w:i w:val="1"/>
          <w:sz w:val="40"/>
          <w:szCs w:val="40"/>
          <w:rtl w:val="0"/>
        </w:rPr>
        <w:t xml:space="preserve">BAT TSION</w:t>
      </w:r>
      <w:r w:rsidDel="00000000" w:rsidR="00000000" w:rsidRPr="00000000">
        <w:rPr>
          <w:rFonts w:ascii="Century Gothic" w:cs="Century Gothic" w:eastAsia="Century Gothic" w:hAnsi="Century Gothic"/>
          <w:b w:val="1"/>
          <w:sz w:val="40"/>
          <w:szCs w:val="40"/>
          <w:rtl w:val="0"/>
        </w:rPr>
        <w:t xml:space="preserve">”: UM ESTUDO SOBRE A EXPRESSÃO “FILHA DE SIÃO” NA LITERATURA PROFÉTICA DA BÍBLIA HEBRAICA</w:t>
      </w:r>
    </w:p>
    <w:p w:rsidR="00000000" w:rsidDel="00000000" w:rsidP="00000000" w:rsidRDefault="00000000" w:rsidRPr="00000000" w14:paraId="00000004">
      <w:pPr>
        <w:spacing w:after="120" w:before="240" w:line="240" w:lineRule="auto"/>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36"/>
          <w:szCs w:val="36"/>
          <w:rtl w:val="0"/>
        </w:rPr>
        <w:t xml:space="preserve">“ARISE AND TRAMPLE, </w:t>
      </w:r>
      <w:r w:rsidDel="00000000" w:rsidR="00000000" w:rsidRPr="00000000">
        <w:rPr>
          <w:rFonts w:ascii="Century Gothic" w:cs="Century Gothic" w:eastAsia="Century Gothic" w:hAnsi="Century Gothic"/>
          <w:b w:val="1"/>
          <w:i w:val="1"/>
          <w:sz w:val="36"/>
          <w:szCs w:val="36"/>
          <w:rtl w:val="0"/>
        </w:rPr>
        <w:t xml:space="preserve">BAT TSION</w:t>
      </w:r>
      <w:r w:rsidDel="00000000" w:rsidR="00000000" w:rsidRPr="00000000">
        <w:rPr>
          <w:rFonts w:ascii="Century Gothic" w:cs="Century Gothic" w:eastAsia="Century Gothic" w:hAnsi="Century Gothic"/>
          <w:b w:val="1"/>
          <w:sz w:val="36"/>
          <w:szCs w:val="36"/>
          <w:rtl w:val="0"/>
        </w:rPr>
        <w:t xml:space="preserve">”: A STUDY </w:t>
        <w:br w:type="textWrapping"/>
        <w:t xml:space="preserve">OF THE EXPRESSION “DAUGHTER OF ZION” </w:t>
        <w:br w:type="textWrapping"/>
        <w:t xml:space="preserve">IN THE PROPHETIC LITERATURE OF THE HEBREW BIBLE</w:t>
      </w:r>
      <w:r w:rsidDel="00000000" w:rsidR="00000000" w:rsidRPr="00000000">
        <w:rPr>
          <w:rtl w:val="0"/>
        </w:rPr>
      </w:r>
    </w:p>
    <w:p w:rsidR="00000000" w:rsidDel="00000000" w:rsidP="00000000" w:rsidRDefault="00000000" w:rsidRPr="00000000" w14:paraId="00000005">
      <w:pPr>
        <w:spacing w:after="0" w:line="240" w:lineRule="auto"/>
        <w:jc w:val="center"/>
        <w:rPr>
          <w:rFonts w:ascii="Bookman Old Style" w:cs="Bookman Old Style" w:eastAsia="Bookman Old Style" w:hAnsi="Bookman Old Style"/>
          <w:b w:val="1"/>
          <w:sz w:val="12"/>
          <w:szCs w:val="12"/>
        </w:rPr>
      </w:pPr>
      <w:r w:rsidDel="00000000" w:rsidR="00000000" w:rsidRPr="00000000">
        <w:rPr>
          <w:rtl w:val="0"/>
        </w:rPr>
      </w:r>
    </w:p>
    <w:p w:rsidR="00000000" w:rsidDel="00000000" w:rsidP="00000000" w:rsidRDefault="00000000" w:rsidRPr="00000000" w14:paraId="00000006">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19090" cy="72390"/>
                <wp:effectExtent b="0" l="0" r="0" t="0"/>
                <wp:wrapNone/>
                <wp:docPr id="173" name=""/>
                <a:graphic>
                  <a:graphicData uri="http://schemas.microsoft.com/office/word/2010/wordprocessingShape">
                    <wps:wsp>
                      <wps:cNvSpPr/>
                      <wps:cNvPr id="15" name="Shape 15"/>
                      <wps:spPr>
                        <a:xfrm>
                          <a:off x="2645980" y="3753330"/>
                          <a:ext cx="5400040" cy="5334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19090" cy="72390"/>
                <wp:effectExtent b="0" l="0" r="0" t="0"/>
                <wp:wrapNone/>
                <wp:docPr id="17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419090" cy="72390"/>
                        </a:xfrm>
                        <a:prstGeom prst="rect"/>
                        <a:ln/>
                      </pic:spPr>
                    </pic:pic>
                  </a:graphicData>
                </a:graphic>
              </wp:anchor>
            </w:drawing>
          </mc:Fallback>
        </mc:AlternateContent>
      </w:r>
    </w:p>
    <w:p w:rsidR="00000000" w:rsidDel="00000000" w:rsidP="00000000" w:rsidRDefault="00000000" w:rsidRPr="00000000" w14:paraId="00000007">
      <w:pPr>
        <w:spacing w:after="0" w:lineRule="auto"/>
        <w:rPr/>
      </w:pPr>
      <w:r w:rsidDel="00000000" w:rsidR="00000000" w:rsidRPr="00000000">
        <w:rPr>
          <w:rtl w:val="0"/>
        </w:rPr>
      </w:r>
    </w:p>
    <w:p w:rsidR="00000000" w:rsidDel="00000000" w:rsidP="00000000" w:rsidRDefault="00000000" w:rsidRPr="00000000" w14:paraId="00000008">
      <w:pPr>
        <w:spacing w:after="0" w:line="240" w:lineRule="auto"/>
        <w:jc w:val="righ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Suzana Chwarts</w:t>
      </w:r>
      <w:r w:rsidDel="00000000" w:rsidR="00000000" w:rsidRPr="00000000">
        <w:rPr>
          <w:rFonts w:ascii="Century Gothic" w:cs="Century Gothic" w:eastAsia="Century Gothic" w:hAnsi="Century Gothic"/>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9">
      <w:pPr>
        <w:spacing w:after="0" w:line="240" w:lineRule="auto"/>
        <w:jc w:val="righ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Quéfren de Moura</w:t>
      </w:r>
      <w:r w:rsidDel="00000000" w:rsidR="00000000" w:rsidRPr="00000000">
        <w:rPr>
          <w:rFonts w:ascii="Century Gothic" w:cs="Century Gothic" w:eastAsia="Century Gothic" w:hAnsi="Century Gothic"/>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A">
      <w:pPr>
        <w:spacing w:after="0" w:line="240" w:lineRule="auto"/>
        <w:jc w:val="righ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00B">
      <w:pPr>
        <w:spacing w:after="0" w:lineRule="auto"/>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0C">
      <w:pPr>
        <w:spacing w:after="12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Resumo: </w:t>
      </w:r>
      <w:r w:rsidDel="00000000" w:rsidR="00000000" w:rsidRPr="00000000">
        <w:rPr>
          <w:rFonts w:ascii="Century Gothic" w:cs="Century Gothic" w:eastAsia="Century Gothic" w:hAnsi="Century Gothic"/>
          <w:sz w:val="20"/>
          <w:szCs w:val="20"/>
          <w:rtl w:val="0"/>
        </w:rPr>
        <w:t xml:space="preserve">Este artigo apresenta um estudo sobre a imagem da filha no discurso dos profetas na Bíblia Hebraica — usada ora em oráculos de destruição e representação do juízo divino, ora em profecias de restauração e reafirmação do amor divino. A análise da expressão “filha de Sião” (</w:t>
      </w:r>
      <w:r w:rsidDel="00000000" w:rsidR="00000000" w:rsidRPr="00000000">
        <w:rPr>
          <w:rFonts w:ascii="Century Gothic" w:cs="Century Gothic" w:eastAsia="Century Gothic" w:hAnsi="Century Gothic"/>
          <w:i w:val="1"/>
          <w:sz w:val="20"/>
          <w:szCs w:val="20"/>
          <w:rtl w:val="0"/>
        </w:rPr>
        <w:t xml:space="preserve">bat tsion</w:t>
      </w:r>
      <w:r w:rsidDel="00000000" w:rsidR="00000000" w:rsidRPr="00000000">
        <w:rPr>
          <w:rFonts w:ascii="Century Gothic" w:cs="Century Gothic" w:eastAsia="Century Gothic" w:hAnsi="Century Gothic"/>
          <w:sz w:val="20"/>
          <w:szCs w:val="20"/>
          <w:rtl w:val="0"/>
        </w:rPr>
        <w:t xml:space="preserve">), em contexto, evidencia a potência e o caráter inovador da retórica profética, dimensionando sua proximidade e seu distanciamento do gênero lamentação na tradição literária mesopotâmica.</w:t>
      </w:r>
    </w:p>
    <w:p w:rsidR="00000000" w:rsidDel="00000000" w:rsidP="00000000" w:rsidRDefault="00000000" w:rsidRPr="00000000" w14:paraId="0000000D">
      <w:pPr>
        <w:spacing w:after="120" w:line="276"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Palavras-chave: </w:t>
      </w:r>
      <w:r w:rsidDel="00000000" w:rsidR="00000000" w:rsidRPr="00000000">
        <w:rPr>
          <w:rFonts w:ascii="Century Gothic" w:cs="Century Gothic" w:eastAsia="Century Gothic" w:hAnsi="Century Gothic"/>
          <w:sz w:val="20"/>
          <w:szCs w:val="20"/>
          <w:rtl w:val="0"/>
        </w:rPr>
        <w:t xml:space="preserve">Bíblia Hebraica. Feminino. Filha de Sião. Poesia. Profetas.</w:t>
      </w:r>
    </w:p>
    <w:p w:rsidR="00000000" w:rsidDel="00000000" w:rsidP="00000000" w:rsidRDefault="00000000" w:rsidRPr="00000000" w14:paraId="0000000E">
      <w:pPr>
        <w:spacing w:after="120" w:line="276"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F">
      <w:pPr>
        <w:spacing w:after="12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Abstract: </w:t>
      </w:r>
      <w:r w:rsidDel="00000000" w:rsidR="00000000" w:rsidRPr="00000000">
        <w:rPr>
          <w:rFonts w:ascii="Century Gothic" w:cs="Century Gothic" w:eastAsia="Century Gothic" w:hAnsi="Century Gothic"/>
          <w:sz w:val="20"/>
          <w:szCs w:val="20"/>
          <w:rtl w:val="0"/>
        </w:rPr>
        <w:t xml:space="preserve">This article presents a study of the image of the daughter in the prophetic discourse in the Hebrew Bible — sometimes used in oracles of destruction and representation of divine judgment, sometimes in prophecies of restoration and reaffirmation of divine love. The analysis of the expression “daughter of Zion” (</w:t>
      </w:r>
      <w:r w:rsidDel="00000000" w:rsidR="00000000" w:rsidRPr="00000000">
        <w:rPr>
          <w:rFonts w:ascii="Century Gothic" w:cs="Century Gothic" w:eastAsia="Century Gothic" w:hAnsi="Century Gothic"/>
          <w:i w:val="1"/>
          <w:sz w:val="20"/>
          <w:szCs w:val="20"/>
          <w:rtl w:val="0"/>
        </w:rPr>
        <w:t xml:space="preserve">bat tsion</w:t>
      </w:r>
      <w:r w:rsidDel="00000000" w:rsidR="00000000" w:rsidRPr="00000000">
        <w:rPr>
          <w:rFonts w:ascii="Century Gothic" w:cs="Century Gothic" w:eastAsia="Century Gothic" w:hAnsi="Century Gothic"/>
          <w:sz w:val="20"/>
          <w:szCs w:val="20"/>
          <w:rtl w:val="0"/>
        </w:rPr>
        <w:t xml:space="preserve">), in context, evinces the power and the innovative character of prophetic rhetoric, measuring its proximity and its distance from the lamentation genre in the Mesopotamian literary tradition.</w:t>
      </w:r>
    </w:p>
    <w:p w:rsidR="00000000" w:rsidDel="00000000" w:rsidP="00000000" w:rsidRDefault="00000000" w:rsidRPr="00000000" w14:paraId="00000010">
      <w:pPr>
        <w:spacing w:after="120" w:line="276"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Keywords: </w:t>
      </w:r>
      <w:r w:rsidDel="00000000" w:rsidR="00000000" w:rsidRPr="00000000">
        <w:rPr>
          <w:rFonts w:ascii="Century Gothic" w:cs="Century Gothic" w:eastAsia="Century Gothic" w:hAnsi="Century Gothic"/>
          <w:sz w:val="20"/>
          <w:szCs w:val="20"/>
          <w:rtl w:val="0"/>
        </w:rPr>
        <w:t xml:space="preserve">Hebrew Bible. Feminine. Daughter of Zion. Poetry. Prophets.</w:t>
      </w:r>
    </w:p>
    <w:p w:rsidR="00000000" w:rsidDel="00000000" w:rsidP="00000000" w:rsidRDefault="00000000" w:rsidRPr="00000000" w14:paraId="00000011">
      <w:pPr>
        <w:spacing w:after="12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2">
      <w:pPr>
        <w:spacing w:after="120" w:line="276"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3">
      <w:pPr>
        <w:spacing w:after="120" w:line="276" w:lineRule="auto"/>
        <w:jc w:val="both"/>
        <w:rPr>
          <w:rFonts w:ascii="Century Gothic" w:cs="Century Gothic" w:eastAsia="Century Gothic" w:hAnsi="Century Gothic"/>
          <w:b w:val="1"/>
          <w:sz w:val="24"/>
          <w:szCs w:val="24"/>
        </w:rPr>
        <w:sectPr>
          <w:headerReference r:id="rId9" w:type="default"/>
          <w:footerReference r:id="rId10" w:type="default"/>
          <w:pgSz w:h="16838" w:w="11906" w:orient="portrait"/>
          <w:pgMar w:bottom="1417" w:top="1417" w:left="1701" w:right="1701" w:header="708" w:footer="708"/>
          <w:pgNumType w:start="1"/>
        </w:sectPr>
      </w:pPr>
      <w:r w:rsidDel="00000000" w:rsidR="00000000" w:rsidRPr="00000000">
        <w:rPr>
          <w:rFonts w:ascii="Century Gothic" w:cs="Century Gothic" w:eastAsia="Century Gothic" w:hAnsi="Century Gothic"/>
          <w:b w:val="1"/>
          <w:sz w:val="24"/>
          <w:szCs w:val="24"/>
          <w:rtl w:val="0"/>
        </w:rPr>
        <w:t xml:space="preserve">Introdução</w:t>
      </w:r>
    </w:p>
    <w:p w:rsidR="00000000" w:rsidDel="00000000" w:rsidP="00000000" w:rsidRDefault="00000000" w:rsidRPr="00000000" w14:paraId="00000014">
      <w:pPr>
        <w:spacing w:after="120" w:line="240" w:lineRule="auto"/>
        <w:ind w:hanging="2268"/>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1"/>
        </w:rPr>
        <w:t xml:space="preserve">ק</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ו</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מ</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י</w:t>
      </w:r>
      <w:r w:rsidDel="00000000" w:rsidR="00000000" w:rsidRPr="00000000">
        <w:rPr>
          <w:rFonts w:ascii="Times New Roman" w:cs="Times New Roman" w:eastAsia="Times New Roman" w:hAnsi="Times New Roman"/>
          <w:sz w:val="20"/>
          <w:szCs w:val="20"/>
          <w:rtl w:val="1"/>
        </w:rPr>
        <w:t xml:space="preserve"> </w:t>
      </w:r>
      <w:r w:rsidDel="00000000" w:rsidR="00000000" w:rsidRPr="00000000">
        <w:rPr>
          <w:rFonts w:ascii="Times New Roman" w:cs="Times New Roman" w:eastAsia="Times New Roman" w:hAnsi="Times New Roman"/>
          <w:sz w:val="20"/>
          <w:szCs w:val="20"/>
          <w:rtl w:val="1"/>
        </w:rPr>
        <w:t xml:space="preserve">ו</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ד</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ו</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ש</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י</w:t>
      </w:r>
    </w:p>
    <w:p w:rsidR="00000000" w:rsidDel="00000000" w:rsidP="00000000" w:rsidRDefault="00000000" w:rsidRPr="00000000" w14:paraId="00000015">
      <w:pPr>
        <w:spacing w:after="120" w:line="240" w:lineRule="auto"/>
        <w:ind w:hanging="2268"/>
        <w:jc w:val="right"/>
        <w:rPr>
          <w:rFonts w:ascii="Times New Roman" w:cs="Times New Roman" w:eastAsia="Times New Roman" w:hAnsi="Times New Roman"/>
          <w:sz w:val="20"/>
          <w:szCs w:val="20"/>
        </w:rPr>
      </w:pPr>
      <w:r w:rsidDel="00000000" w:rsidR="00000000" w:rsidRPr="00000000">
        <w:rPr>
          <w:rtl w:val="0"/>
        </w:rPr>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1"/>
        </w:rPr>
        <w:t xml:space="preserve">ב</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ת</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צ</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י</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ו</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ן</w:t>
      </w:r>
    </w:p>
    <w:p w:rsidR="00000000" w:rsidDel="00000000" w:rsidP="00000000" w:rsidRDefault="00000000" w:rsidRPr="00000000" w14:paraId="00000016">
      <w:pPr>
        <w:spacing w:after="120" w:line="240" w:lineRule="auto"/>
        <w:ind w:hanging="2268"/>
        <w:jc w:val="right"/>
        <w:rPr>
          <w:rFonts w:ascii="Times New Roman" w:cs="Times New Roman" w:eastAsia="Times New Roman" w:hAnsi="Times New Roman"/>
          <w:sz w:val="20"/>
          <w:szCs w:val="20"/>
        </w:rPr>
      </w:pPr>
      <w:r w:rsidDel="00000000" w:rsidR="00000000" w:rsidRPr="00000000">
        <w:rPr>
          <w:rtl w:val="0"/>
        </w:rPr>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1"/>
        </w:rPr>
        <w:t xml:space="preserve">כ</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י</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ק</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ר</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נ</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ך</w:t>
      </w:r>
      <w:r w:rsidDel="00000000" w:rsidR="00000000" w:rsidRPr="00000000">
        <w:rPr>
          <w:rFonts w:ascii="Times New Roman" w:cs="Times New Roman" w:eastAsia="Times New Roman" w:hAnsi="Times New Roman"/>
          <w:sz w:val="20"/>
          <w:szCs w:val="20"/>
          <w:rtl w:val="1"/>
        </w:rPr>
        <w:t xml:space="preserve">ְ </w:t>
      </w:r>
      <w:r w:rsidDel="00000000" w:rsidR="00000000" w:rsidRPr="00000000">
        <w:rPr>
          <w:rFonts w:ascii="Times New Roman" w:cs="Times New Roman" w:eastAsia="Times New Roman" w:hAnsi="Times New Roman"/>
          <w:sz w:val="20"/>
          <w:szCs w:val="20"/>
          <w:rtl w:val="1"/>
        </w:rPr>
        <w:t xml:space="preserve">א</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ש</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ים</w:t>
      </w:r>
      <w:r w:rsidDel="00000000" w:rsidR="00000000" w:rsidRPr="00000000">
        <w:rPr>
          <w:rFonts w:ascii="Times New Roman" w:cs="Times New Roman" w:eastAsia="Times New Roman" w:hAnsi="Times New Roman"/>
          <w:sz w:val="20"/>
          <w:szCs w:val="20"/>
          <w:rtl w:val="1"/>
        </w:rPr>
        <w:t xml:space="preserve"> </w:t>
      </w:r>
      <w:r w:rsidDel="00000000" w:rsidR="00000000" w:rsidRPr="00000000">
        <w:rPr>
          <w:rFonts w:ascii="Times New Roman" w:cs="Times New Roman" w:eastAsia="Times New Roman" w:hAnsi="Times New Roman"/>
          <w:sz w:val="20"/>
          <w:szCs w:val="20"/>
          <w:rtl w:val="1"/>
        </w:rPr>
        <w:t xml:space="preserve">ב</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ר</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ז</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ל</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7">
      <w:pPr>
        <w:spacing w:after="120" w:line="240" w:lineRule="auto"/>
        <w:ind w:hanging="2268"/>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1"/>
        </w:rPr>
        <w:t xml:space="preserve">ו</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פ</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ר</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ס</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ת</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י</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ך</w:t>
      </w:r>
      <w:r w:rsidDel="00000000" w:rsidR="00000000" w:rsidRPr="00000000">
        <w:rPr>
          <w:rFonts w:ascii="Times New Roman" w:cs="Times New Roman" w:eastAsia="Times New Roman" w:hAnsi="Times New Roman"/>
          <w:sz w:val="20"/>
          <w:szCs w:val="20"/>
          <w:rtl w:val="1"/>
        </w:rPr>
        <w:t xml:space="preserve">ְ֙ </w:t>
      </w:r>
      <w:r w:rsidDel="00000000" w:rsidR="00000000" w:rsidRPr="00000000">
        <w:rPr>
          <w:rFonts w:ascii="Times New Roman" w:cs="Times New Roman" w:eastAsia="Times New Roman" w:hAnsi="Times New Roman"/>
          <w:sz w:val="20"/>
          <w:szCs w:val="20"/>
          <w:rtl w:val="1"/>
        </w:rPr>
        <w:t xml:space="preserve">א</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ש</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ים</w:t>
      </w:r>
      <w:r w:rsidDel="00000000" w:rsidR="00000000" w:rsidRPr="00000000">
        <w:rPr>
          <w:rFonts w:ascii="Times New Roman" w:cs="Times New Roman" w:eastAsia="Times New Roman" w:hAnsi="Times New Roman"/>
          <w:sz w:val="20"/>
          <w:szCs w:val="20"/>
          <w:rtl w:val="1"/>
        </w:rPr>
        <w:t xml:space="preserve"> </w:t>
      </w:r>
      <w:r w:rsidDel="00000000" w:rsidR="00000000" w:rsidRPr="00000000">
        <w:rPr>
          <w:rFonts w:ascii="Times New Roman" w:cs="Times New Roman" w:eastAsia="Times New Roman" w:hAnsi="Times New Roman"/>
          <w:sz w:val="20"/>
          <w:szCs w:val="20"/>
          <w:rtl w:val="1"/>
        </w:rPr>
        <w:t xml:space="preserve">נ</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חו</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ש</w:t>
      </w:r>
      <w:r w:rsidDel="00000000" w:rsidR="00000000" w:rsidRPr="00000000">
        <w:rPr>
          <w:rFonts w:ascii="Times New Roman" w:cs="Times New Roman" w:eastAsia="Times New Roman" w:hAnsi="Times New Roman"/>
          <w:sz w:val="20"/>
          <w:szCs w:val="20"/>
          <w:rtl w:val="1"/>
        </w:rPr>
        <w:t xml:space="preserve">ָׁ֔</w:t>
      </w:r>
      <w:r w:rsidDel="00000000" w:rsidR="00000000" w:rsidRPr="00000000">
        <w:rPr>
          <w:rFonts w:ascii="Times New Roman" w:cs="Times New Roman" w:eastAsia="Times New Roman" w:hAnsi="Times New Roman"/>
          <w:sz w:val="20"/>
          <w:szCs w:val="20"/>
          <w:rtl w:val="1"/>
        </w:rPr>
        <w:t xml:space="preserve">ה</w:t>
      </w:r>
    </w:p>
    <w:p w:rsidR="00000000" w:rsidDel="00000000" w:rsidP="00000000" w:rsidRDefault="00000000" w:rsidRPr="00000000" w14:paraId="00000018">
      <w:pPr>
        <w:spacing w:after="0" w:line="240" w:lineRule="auto"/>
        <w:ind w:right="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qumi vadoshi</w:t>
      </w:r>
    </w:p>
    <w:p w:rsidR="00000000" w:rsidDel="00000000" w:rsidP="00000000" w:rsidRDefault="00000000" w:rsidRPr="00000000" w14:paraId="00000019">
      <w:pPr>
        <w:spacing w:after="0" w:line="240" w:lineRule="auto"/>
        <w:ind w:right="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bat tsion</w:t>
      </w:r>
    </w:p>
    <w:p w:rsidR="00000000" w:rsidDel="00000000" w:rsidP="00000000" w:rsidRDefault="00000000" w:rsidRPr="00000000" w14:paraId="0000001A">
      <w:pPr>
        <w:spacing w:after="0" w:line="240" w:lineRule="auto"/>
        <w:ind w:right="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ki qarnekh</w:t>
      </w:r>
      <w:r w:rsidDel="00000000" w:rsidR="00000000" w:rsidRPr="00000000">
        <w:rPr>
          <w:rFonts w:ascii="Arial" w:cs="Arial" w:eastAsia="Arial" w:hAnsi="Arial"/>
          <w:i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‘asim barzel </w:t>
      </w:r>
    </w:p>
    <w:p w:rsidR="00000000" w:rsidDel="00000000" w:rsidP="00000000" w:rsidRDefault="00000000" w:rsidRPr="00000000" w14:paraId="0000001B">
      <w:pPr>
        <w:spacing w:after="0" w:line="240" w:lineRule="auto"/>
        <w:ind w:right="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ufarsotaikh ‘asim nechushah</w:t>
      </w:r>
    </w:p>
    <w:p w:rsidR="00000000" w:rsidDel="00000000" w:rsidP="00000000" w:rsidRDefault="00000000" w:rsidRPr="00000000" w14:paraId="0000001C">
      <w:pPr>
        <w:spacing w:after="0" w:line="240" w:lineRule="auto"/>
        <w:ind w:right="0"/>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Ergue-te e pisoteia,</w:t>
      </w:r>
    </w:p>
    <w:p w:rsidR="00000000" w:rsidDel="00000000" w:rsidP="00000000" w:rsidRDefault="00000000" w:rsidRPr="00000000" w14:paraId="0000001D">
      <w:pPr>
        <w:spacing w:after="0" w:line="240" w:lineRule="auto"/>
        <w:ind w:right="0"/>
        <w:jc w:val="right"/>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sz w:val="20"/>
          <w:szCs w:val="20"/>
          <w:rtl w:val="0"/>
        </w:rPr>
        <w:t xml:space="preserve">filha de Sião</w:t>
      </w:r>
      <w:r w:rsidDel="00000000" w:rsidR="00000000" w:rsidRPr="00000000">
        <w:rPr>
          <w:rFonts w:ascii="Century Gothic" w:cs="Century Gothic" w:eastAsia="Century Gothic" w:hAnsi="Century Gothic"/>
          <w:i w:val="1"/>
          <w:sz w:val="20"/>
          <w:szCs w:val="20"/>
          <w:rtl w:val="0"/>
        </w:rPr>
        <w:t xml:space="preserve">,</w:t>
      </w:r>
    </w:p>
    <w:p w:rsidR="00000000" w:rsidDel="00000000" w:rsidP="00000000" w:rsidRDefault="00000000" w:rsidRPr="00000000" w14:paraId="0000001E">
      <w:pPr>
        <w:spacing w:after="0" w:line="240" w:lineRule="auto"/>
        <w:ind w:left="-142" w:right="0" w:firstLine="0"/>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porque teus chifres farei de ferro</w:t>
      </w:r>
    </w:p>
    <w:p w:rsidR="00000000" w:rsidDel="00000000" w:rsidP="00000000" w:rsidRDefault="00000000" w:rsidRPr="00000000" w14:paraId="0000001F">
      <w:pPr>
        <w:spacing w:after="0" w:line="240" w:lineRule="auto"/>
        <w:ind w:right="0"/>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teus cascos farei de bronze.</w:t>
      </w:r>
    </w:p>
    <w:p w:rsidR="00000000" w:rsidDel="00000000" w:rsidP="00000000" w:rsidRDefault="00000000" w:rsidRPr="00000000" w14:paraId="00000020">
      <w:pPr>
        <w:spacing w:after="0" w:line="240" w:lineRule="auto"/>
        <w:ind w:right="0"/>
        <w:jc w:val="righ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(Mq 4.13)</w:t>
      </w:r>
      <w:r w:rsidDel="00000000" w:rsidR="00000000" w:rsidRPr="00000000">
        <w:rPr>
          <w:rFonts w:ascii="Century Gothic" w:cs="Century Gothic" w:eastAsia="Century Gothic" w:hAnsi="Century Gothic"/>
          <w:sz w:val="18"/>
          <w:szCs w:val="18"/>
          <w:vertAlign w:val="superscript"/>
        </w:rPr>
        <w:footnoteReference w:customMarkFollows="0" w:id="2"/>
      </w:r>
      <w:r w:rsidDel="00000000" w:rsidR="00000000" w:rsidRPr="00000000">
        <w:rPr>
          <w:rtl w:val="0"/>
        </w:rPr>
      </w:r>
    </w:p>
    <w:p w:rsidR="00000000" w:rsidDel="00000000" w:rsidP="00000000" w:rsidRDefault="00000000" w:rsidRPr="00000000" w14:paraId="00000021">
      <w:pPr>
        <w:spacing w:after="0" w:line="240" w:lineRule="auto"/>
        <w:ind w:right="0"/>
        <w:jc w:val="right"/>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2">
      <w:pPr>
        <w:spacing w:after="280" w:before="240" w:line="360" w:lineRule="auto"/>
        <w:ind w:firstLine="70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Bíblia Hebraica, como artefato cultural da Antiguidade, está repleta de expressões e metáforas relacionadas ao feminino. Elas refletem uma visão de mundo que nos aproxima do pensamento oriental antigo, em que imagens de mulheres serviram às representações do sagrado e da relação entre humano e divino.</w:t>
      </w:r>
    </w:p>
    <w:p w:rsidR="00000000" w:rsidDel="00000000" w:rsidP="00000000" w:rsidRDefault="00000000" w:rsidRPr="00000000" w14:paraId="00000023">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entanto, essa percepção ainda não encontra grande ressonância nas pesquisas sobre a Bíblia. É por isso que tais figurações ainda nos desafiam e interpelam. </w:t>
      </w:r>
    </w:p>
    <w:p w:rsidR="00000000" w:rsidDel="00000000" w:rsidP="00000000" w:rsidRDefault="00000000" w:rsidRPr="00000000" w14:paraId="00000024">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 seu discurso, os profetas evocaram a família nuclear patrilinear e patrilocal bíblica</w:t>
      </w:r>
      <w:r w:rsidDel="00000000" w:rsidR="00000000" w:rsidRPr="00000000">
        <w:rPr>
          <w:rFonts w:ascii="Century Gothic" w:cs="Century Gothic" w:eastAsia="Century Gothic" w:hAnsi="Century Gothic"/>
          <w:sz w:val="24"/>
          <w:szCs w:val="24"/>
          <w:vertAlign w:val="superscript"/>
        </w:rPr>
        <w:footnoteReference w:customMarkFollows="0" w:id="3"/>
      </w:r>
      <w:r w:rsidDel="00000000" w:rsidR="00000000" w:rsidRPr="00000000">
        <w:rPr>
          <w:rFonts w:ascii="Century Gothic" w:cs="Century Gothic" w:eastAsia="Century Gothic" w:hAnsi="Century Gothic"/>
          <w:sz w:val="24"/>
          <w:szCs w:val="24"/>
          <w:rtl w:val="0"/>
        </w:rPr>
        <w:t xml:space="preserve">. Essa apropriação se reflete na terminologia familiar empregada, em que Deus é chamado de esposo, Israel é referida como esposa (matrona), Judá e Israel são chamadas de irmãs e Deus é, ainda, o </w:t>
      </w:r>
      <w:r w:rsidDel="00000000" w:rsidR="00000000" w:rsidRPr="00000000">
        <w:rPr>
          <w:rFonts w:ascii="Century Gothic" w:cs="Century Gothic" w:eastAsia="Century Gothic" w:hAnsi="Century Gothic"/>
          <w:i w:val="1"/>
          <w:sz w:val="24"/>
          <w:szCs w:val="24"/>
          <w:rtl w:val="0"/>
        </w:rPr>
        <w:t xml:space="preserve">go’el</w:t>
      </w:r>
      <w:r w:rsidDel="00000000" w:rsidR="00000000" w:rsidRPr="00000000">
        <w:rPr>
          <w:rFonts w:ascii="Century Gothic" w:cs="Century Gothic" w:eastAsia="Century Gothic" w:hAnsi="Century Gothic"/>
          <w:sz w:val="24"/>
          <w:szCs w:val="24"/>
          <w:rtl w:val="0"/>
        </w:rPr>
        <w:t xml:space="preserve">, o parente vingador e salvador, que no contexto bíblico devia “atuar com vistas a evitar uma ruptura na descendência e na propriedade do clã” (CHWARTS, 2016, p. 137). A essas imagens, os profetas agregaram “uma camada adicional de sentido, para adaptá-las às exigências de seu próprio tempo” (</w:t>
      </w:r>
      <w:r w:rsidDel="00000000" w:rsidR="00000000" w:rsidRPr="00000000">
        <w:rPr>
          <w:rFonts w:ascii="Century Gothic" w:cs="Century Gothic" w:eastAsia="Century Gothic" w:hAnsi="Century Gothic"/>
          <w:i w:val="1"/>
          <w:sz w:val="24"/>
          <w:szCs w:val="24"/>
          <w:rtl w:val="0"/>
        </w:rPr>
        <w:t xml:space="preserve">ibidem</w:t>
      </w:r>
      <w:r w:rsidDel="00000000" w:rsidR="00000000" w:rsidRPr="00000000">
        <w:rPr>
          <w:rFonts w:ascii="Century Gothic" w:cs="Century Gothic" w:eastAsia="Century Gothic" w:hAnsi="Century Gothic"/>
          <w:sz w:val="24"/>
          <w:szCs w:val="24"/>
          <w:rtl w:val="0"/>
        </w:rPr>
        <w:t xml:space="preserve">, p. 137-138).</w:t>
      </w:r>
    </w:p>
    <w:p w:rsidR="00000000" w:rsidDel="00000000" w:rsidP="00000000" w:rsidRDefault="00000000" w:rsidRPr="00000000" w14:paraId="00000025">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professor e teólogo F. W. Dobbs-Allsopp, em seu artigo “The Syntagma of Bat Followed by a Geographical Name in the Hebrew Bible” (1995), propõe uma discussão sobre o uso da imagem da filha na Bíblia Hebraica. Ele não se aprofunda nas tradições clânicas e familiares, mas associa as expressões em que “filha de...” precede uma designação geográfica, sobretudo nos textos poéticos, a epítetos divinos mesopotâmicos do gênero lamentação (1995, p. 452-453). </w:t>
      </w:r>
    </w:p>
    <w:p w:rsidR="00000000" w:rsidDel="00000000" w:rsidP="00000000" w:rsidRDefault="00000000" w:rsidRPr="00000000" w14:paraId="00000026">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 Antiguidade, as deusas eram chamadas de “filhas” das cidades em que seus santuários estavam localizados</w:t>
      </w:r>
      <w:r w:rsidDel="00000000" w:rsidR="00000000" w:rsidRPr="00000000">
        <w:rPr>
          <w:rFonts w:ascii="Century Gothic" w:cs="Century Gothic" w:eastAsia="Century Gothic" w:hAnsi="Century Gothic"/>
          <w:sz w:val="24"/>
          <w:szCs w:val="24"/>
          <w:vertAlign w:val="superscript"/>
        </w:rPr>
        <w:footnoteReference w:customMarkFollows="0" w:id="4"/>
      </w:r>
      <w:r w:rsidDel="00000000" w:rsidR="00000000" w:rsidRPr="00000000">
        <w:rPr>
          <w:rFonts w:ascii="Century Gothic" w:cs="Century Gothic" w:eastAsia="Century Gothic" w:hAnsi="Century Gothic"/>
          <w:sz w:val="24"/>
          <w:szCs w:val="24"/>
          <w:rtl w:val="0"/>
        </w:rPr>
        <w:t xml:space="preserve">. Como cidadãs desses lugares, elas choravam sua desolação. Este é um </w:t>
      </w:r>
      <w:r w:rsidDel="00000000" w:rsidR="00000000" w:rsidRPr="00000000">
        <w:rPr>
          <w:rFonts w:ascii="Century Gothic" w:cs="Century Gothic" w:eastAsia="Century Gothic" w:hAnsi="Century Gothic"/>
          <w:i w:val="1"/>
          <w:sz w:val="24"/>
          <w:szCs w:val="24"/>
          <w:rtl w:val="0"/>
        </w:rPr>
        <w:t xml:space="preserve">motiv </w:t>
      </w:r>
      <w:r w:rsidDel="00000000" w:rsidR="00000000" w:rsidRPr="00000000">
        <w:rPr>
          <w:rFonts w:ascii="Century Gothic" w:cs="Century Gothic" w:eastAsia="Century Gothic" w:hAnsi="Century Gothic"/>
          <w:sz w:val="24"/>
          <w:szCs w:val="24"/>
          <w:rtl w:val="0"/>
        </w:rPr>
        <w:t xml:space="preserve">literário poderoso, em que a deusa lamenta profundamente a destruição da cidade, a profanação do templo, além da morte, do sofrimento e da dispersão do povo. A deusa prototípica desse gênero é Ningal, no Lamento de Ur</w:t>
      </w:r>
      <w:r w:rsidDel="00000000" w:rsidR="00000000" w:rsidRPr="00000000">
        <w:rPr>
          <w:rFonts w:ascii="Century Gothic" w:cs="Century Gothic" w:eastAsia="Century Gothic" w:hAnsi="Century Gothic"/>
          <w:sz w:val="24"/>
          <w:szCs w:val="24"/>
          <w:vertAlign w:val="superscript"/>
        </w:rPr>
        <w:footnoteReference w:customMarkFollows="0" w:id="5"/>
      </w:r>
      <w:r w:rsidDel="00000000" w:rsidR="00000000" w:rsidRPr="00000000">
        <w:rPr>
          <w:rFonts w:ascii="Century Gothic" w:cs="Century Gothic" w:eastAsia="Century Gothic" w:hAnsi="Century Gothic"/>
          <w:sz w:val="24"/>
          <w:szCs w:val="24"/>
          <w:rtl w:val="0"/>
        </w:rPr>
        <w:t xml:space="preserve"> (DOBBS-ALLSOPP, 1955, p. 454-455). </w:t>
      </w:r>
    </w:p>
    <w:p w:rsidR="00000000" w:rsidDel="00000000" w:rsidP="00000000" w:rsidRDefault="00000000" w:rsidRPr="00000000" w14:paraId="00000027">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“Hino de Naná”</w:t>
      </w:r>
      <w:r w:rsidDel="00000000" w:rsidR="00000000" w:rsidRPr="00000000">
        <w:rPr>
          <w:rFonts w:ascii="Century Gothic" w:cs="Century Gothic" w:eastAsia="Century Gothic" w:hAnsi="Century Gothic"/>
          <w:sz w:val="24"/>
          <w:szCs w:val="24"/>
          <w:vertAlign w:val="superscript"/>
        </w:rPr>
        <w:footnoteReference w:customMarkFollows="0" w:id="6"/>
      </w:r>
      <w:r w:rsidDel="00000000" w:rsidR="00000000" w:rsidRPr="00000000">
        <w:rPr>
          <w:rFonts w:ascii="Century Gothic" w:cs="Century Gothic" w:eastAsia="Century Gothic" w:hAnsi="Century Gothic"/>
          <w:sz w:val="24"/>
          <w:szCs w:val="24"/>
          <w:rtl w:val="0"/>
        </w:rPr>
        <w:t xml:space="preserve">, escrito em sumério e acádio, a deusa é referenciada como </w:t>
      </w:r>
      <w:r w:rsidDel="00000000" w:rsidR="00000000" w:rsidRPr="00000000">
        <w:rPr>
          <w:rFonts w:ascii="Century Gothic" w:cs="Century Gothic" w:eastAsia="Century Gothic" w:hAnsi="Century Gothic"/>
          <w:i w:val="1"/>
          <w:sz w:val="24"/>
          <w:szCs w:val="24"/>
          <w:rtl w:val="0"/>
        </w:rPr>
        <w:t xml:space="preserve">mārat uri</w:t>
      </w:r>
      <w:r w:rsidDel="00000000" w:rsidR="00000000" w:rsidRPr="00000000">
        <w:rPr>
          <w:rFonts w:ascii="Century Gothic" w:cs="Century Gothic" w:eastAsia="Century Gothic" w:hAnsi="Century Gothic"/>
          <w:sz w:val="24"/>
          <w:szCs w:val="24"/>
          <w:rtl w:val="0"/>
        </w:rPr>
        <w:t xml:space="preserve"> , “filha de Ur”, </w:t>
      </w:r>
      <w:r w:rsidDel="00000000" w:rsidR="00000000" w:rsidRPr="00000000">
        <w:rPr>
          <w:rFonts w:ascii="Century Gothic" w:cs="Century Gothic" w:eastAsia="Century Gothic" w:hAnsi="Century Gothic"/>
          <w:i w:val="1"/>
          <w:sz w:val="24"/>
          <w:szCs w:val="24"/>
          <w:rtl w:val="0"/>
        </w:rPr>
        <w:t xml:space="preserve">mārat eridu</w:t>
      </w:r>
      <w:r w:rsidDel="00000000" w:rsidR="00000000" w:rsidRPr="00000000">
        <w:rPr>
          <w:rFonts w:ascii="Century Gothic" w:cs="Century Gothic" w:eastAsia="Century Gothic" w:hAnsi="Century Gothic"/>
          <w:sz w:val="24"/>
          <w:szCs w:val="24"/>
          <w:rtl w:val="0"/>
        </w:rPr>
        <w:t xml:space="preserve">, “filha de Eridu”, </w:t>
      </w:r>
      <w:r w:rsidDel="00000000" w:rsidR="00000000" w:rsidRPr="00000000">
        <w:rPr>
          <w:rFonts w:ascii="Century Gothic" w:cs="Century Gothic" w:eastAsia="Century Gothic" w:hAnsi="Century Gothic"/>
          <w:i w:val="1"/>
          <w:sz w:val="24"/>
          <w:szCs w:val="24"/>
          <w:rtl w:val="0"/>
        </w:rPr>
        <w:t xml:space="preserve">mārat kullaba</w:t>
      </w:r>
      <w:r w:rsidDel="00000000" w:rsidR="00000000" w:rsidRPr="00000000">
        <w:rPr>
          <w:rFonts w:ascii="Century Gothic" w:cs="Century Gothic" w:eastAsia="Century Gothic" w:hAnsi="Century Gothic"/>
          <w:sz w:val="24"/>
          <w:szCs w:val="24"/>
          <w:rtl w:val="0"/>
        </w:rPr>
        <w:t xml:space="preserve">, “filha de Kullab”, e </w:t>
      </w:r>
      <w:r w:rsidDel="00000000" w:rsidR="00000000" w:rsidRPr="00000000">
        <w:rPr>
          <w:rFonts w:ascii="Century Gothic" w:cs="Century Gothic" w:eastAsia="Century Gothic" w:hAnsi="Century Gothic"/>
          <w:i w:val="1"/>
          <w:sz w:val="24"/>
          <w:szCs w:val="24"/>
          <w:rtl w:val="0"/>
        </w:rPr>
        <w:t xml:space="preserve">mārat</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bāb'ili</w:t>
      </w:r>
      <w:r w:rsidDel="00000000" w:rsidR="00000000" w:rsidRPr="00000000">
        <w:rPr>
          <w:rFonts w:ascii="Century Gothic" w:cs="Century Gothic" w:eastAsia="Century Gothic" w:hAnsi="Century Gothic"/>
          <w:sz w:val="24"/>
          <w:szCs w:val="24"/>
          <w:rtl w:val="0"/>
        </w:rPr>
        <w:t xml:space="preserve">, “filha da Babilônia”. Em outro texto, um lamento neobabilônico para Tammuz</w:t>
      </w:r>
      <w:r w:rsidDel="00000000" w:rsidR="00000000" w:rsidRPr="00000000">
        <w:rPr>
          <w:rFonts w:ascii="Century Gothic" w:cs="Century Gothic" w:eastAsia="Century Gothic" w:hAnsi="Century Gothic"/>
          <w:sz w:val="24"/>
          <w:szCs w:val="24"/>
          <w:vertAlign w:val="superscript"/>
        </w:rPr>
        <w:footnoteReference w:customMarkFollows="0" w:id="7"/>
      </w:r>
      <w:r w:rsidDel="00000000" w:rsidR="00000000" w:rsidRPr="00000000">
        <w:rPr>
          <w:rFonts w:ascii="Century Gothic" w:cs="Century Gothic" w:eastAsia="Century Gothic" w:hAnsi="Century Gothic"/>
          <w:sz w:val="24"/>
          <w:szCs w:val="24"/>
          <w:rtl w:val="0"/>
        </w:rPr>
        <w:t xml:space="preserve">, a deusa, possivelmente Ishtar, é retratada lamentando a destruição de sua cidade e a perda de seu esposo. Ela ostenta títulos como </w:t>
      </w:r>
      <w:r w:rsidDel="00000000" w:rsidR="00000000" w:rsidRPr="00000000">
        <w:rPr>
          <w:rFonts w:ascii="Century Gothic" w:cs="Century Gothic" w:eastAsia="Century Gothic" w:hAnsi="Century Gothic"/>
          <w:i w:val="1"/>
          <w:sz w:val="24"/>
          <w:szCs w:val="24"/>
          <w:rtl w:val="0"/>
        </w:rPr>
        <w:t xml:space="preserve">mārat uruk</w:t>
      </w:r>
      <w:r w:rsidDel="00000000" w:rsidR="00000000" w:rsidRPr="00000000">
        <w:rPr>
          <w:rFonts w:ascii="Century Gothic" w:cs="Century Gothic" w:eastAsia="Century Gothic" w:hAnsi="Century Gothic"/>
          <w:sz w:val="24"/>
          <w:szCs w:val="24"/>
          <w:rtl w:val="0"/>
        </w:rPr>
        <w:t xml:space="preserve">, “filha de Uruk”, </w:t>
      </w:r>
      <w:r w:rsidDel="00000000" w:rsidR="00000000" w:rsidRPr="00000000">
        <w:rPr>
          <w:rFonts w:ascii="Century Gothic" w:cs="Century Gothic" w:eastAsia="Century Gothic" w:hAnsi="Century Gothic"/>
          <w:i w:val="1"/>
          <w:sz w:val="24"/>
          <w:szCs w:val="24"/>
          <w:rtl w:val="0"/>
        </w:rPr>
        <w:t xml:space="preserve">mārat akkade</w:t>
      </w:r>
      <w:r w:rsidDel="00000000" w:rsidR="00000000" w:rsidRPr="00000000">
        <w:rPr>
          <w:rFonts w:ascii="Century Gothic" w:cs="Century Gothic" w:eastAsia="Century Gothic" w:hAnsi="Century Gothic"/>
          <w:sz w:val="24"/>
          <w:szCs w:val="24"/>
          <w:rtl w:val="0"/>
        </w:rPr>
        <w:t xml:space="preserve">, “filha de Akkad”, </w:t>
      </w:r>
      <w:r w:rsidDel="00000000" w:rsidR="00000000" w:rsidRPr="00000000">
        <w:rPr>
          <w:rFonts w:ascii="Century Gothic" w:cs="Century Gothic" w:eastAsia="Century Gothic" w:hAnsi="Century Gothic"/>
          <w:i w:val="1"/>
          <w:sz w:val="24"/>
          <w:szCs w:val="24"/>
          <w:rtl w:val="0"/>
        </w:rPr>
        <w:t xml:space="preserve">mārat larak</w:t>
      </w:r>
      <w:r w:rsidDel="00000000" w:rsidR="00000000" w:rsidRPr="00000000">
        <w:rPr>
          <w:rFonts w:ascii="Century Gothic" w:cs="Century Gothic" w:eastAsia="Century Gothic" w:hAnsi="Century Gothic"/>
          <w:sz w:val="24"/>
          <w:szCs w:val="24"/>
          <w:rtl w:val="0"/>
        </w:rPr>
        <w:t xml:space="preserve">, “filha de Larak”, e </w:t>
      </w:r>
      <w:r w:rsidDel="00000000" w:rsidR="00000000" w:rsidRPr="00000000">
        <w:rPr>
          <w:rFonts w:ascii="Century Gothic" w:cs="Century Gothic" w:eastAsia="Century Gothic" w:hAnsi="Century Gothic"/>
          <w:i w:val="1"/>
          <w:sz w:val="24"/>
          <w:szCs w:val="24"/>
          <w:rtl w:val="0"/>
        </w:rPr>
        <w:t xml:space="preserve">mārat nippuri</w:t>
      </w:r>
      <w:r w:rsidDel="00000000" w:rsidR="00000000" w:rsidRPr="00000000">
        <w:rPr>
          <w:rFonts w:ascii="Century Gothic" w:cs="Century Gothic" w:eastAsia="Century Gothic" w:hAnsi="Century Gothic"/>
          <w:sz w:val="24"/>
          <w:szCs w:val="24"/>
          <w:rtl w:val="0"/>
        </w:rPr>
        <w:t xml:space="preserve">, “filha de Nippur”.</w:t>
      </w:r>
    </w:p>
    <w:p w:rsidR="00000000" w:rsidDel="00000000" w:rsidP="00000000" w:rsidRDefault="00000000" w:rsidRPr="00000000" w14:paraId="00000028">
      <w:pPr>
        <w:spacing w:after="288" w:line="360" w:lineRule="auto"/>
        <w:ind w:firstLine="709"/>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Para Dobbs-Allsopp, ao empregar a construção </w:t>
      </w:r>
      <w:r w:rsidDel="00000000" w:rsidR="00000000" w:rsidRPr="00000000">
        <w:rPr>
          <w:rFonts w:ascii="Century Gothic" w:cs="Century Gothic" w:eastAsia="Century Gothic" w:hAnsi="Century Gothic"/>
          <w:i w:val="1"/>
          <w:sz w:val="24"/>
          <w:szCs w:val="24"/>
          <w:rtl w:val="0"/>
        </w:rPr>
        <w:t xml:space="preserve">bat </w:t>
      </w:r>
      <w:r w:rsidDel="00000000" w:rsidR="00000000" w:rsidRPr="00000000">
        <w:rPr>
          <w:rFonts w:ascii="Century Gothic" w:cs="Century Gothic" w:eastAsia="Century Gothic" w:hAnsi="Century Gothic"/>
          <w:sz w:val="24"/>
          <w:szCs w:val="24"/>
          <w:rtl w:val="0"/>
        </w:rPr>
        <w:t xml:space="preserve">+ designação geográfica, os poetas bíblicos se ligam à tradição mesopotâmica desses lamentos, uma vez que seu repertório genérico é comum: assuntos ou motivos parecidos, temas semelhantes, imagens e caracterização próximas etc. (1995, p. 454). Para ele, quando tais expressões ocorrem na Bíblia Hebraica, há uma personificação das cidades, representadas como jovens mulheres (</w:t>
      </w:r>
      <w:r w:rsidDel="00000000" w:rsidR="00000000" w:rsidRPr="00000000">
        <w:rPr>
          <w:rFonts w:ascii="Century Gothic" w:cs="Century Gothic" w:eastAsia="Century Gothic" w:hAnsi="Century Gothic"/>
          <w:i w:val="1"/>
          <w:sz w:val="24"/>
          <w:szCs w:val="24"/>
          <w:rtl w:val="0"/>
        </w:rPr>
        <w:t xml:space="preserve">ibidem</w:t>
      </w:r>
      <w:r w:rsidDel="00000000" w:rsidR="00000000" w:rsidRPr="00000000">
        <w:rPr>
          <w:rFonts w:ascii="Century Gothic" w:cs="Century Gothic" w:eastAsia="Century Gothic" w:hAnsi="Century Gothic"/>
          <w:sz w:val="24"/>
          <w:szCs w:val="24"/>
          <w:rtl w:val="0"/>
        </w:rPr>
        <w:t xml:space="preserve">, p. 452). </w:t>
      </w:r>
      <w:r w:rsidDel="00000000" w:rsidR="00000000" w:rsidRPr="00000000">
        <w:rPr>
          <w:rtl w:val="0"/>
        </w:rPr>
      </w:r>
    </w:p>
    <w:p w:rsidR="00000000" w:rsidDel="00000000" w:rsidP="00000000" w:rsidRDefault="00000000" w:rsidRPr="00000000" w14:paraId="00000029">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autor sugere que, por causa da forte condenação da adoração a outras divindades em Israel, os poetas bíblicos teriam encontrado um substituto viável para a imagem forte, conhecida e dominante na Antiguidade da deusa que chora, a fim de usá-la em seus escritos (DOBBS-ALLSOPP, 1995, p. 455-456). Assim, criaram uma figura literária cuja presença na Bíblia, de outra forma, seria abominável. Trata-se da cidade personificada. </w:t>
      </w:r>
    </w:p>
    <w:p w:rsidR="00000000" w:rsidDel="00000000" w:rsidP="00000000" w:rsidRDefault="00000000" w:rsidRPr="00000000" w14:paraId="0000002A">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É preciso um olhar atento aos textos bíblicos, a fim de compreender se, de fato, a associação das filhas com as cidades na Bíblia Hebraica e a personificação como um recurso advindo da tradição dos lamentos mesopotâmicos podem ser generalizadas, a despeito da heterogeneidade dos discursos proféticos e das diferentes temporalidades contidas no texto bíblico. Além disso, deve-se indagar se há algum elemento inovador na retórica profética.</w:t>
      </w:r>
    </w:p>
    <w:p w:rsidR="00000000" w:rsidDel="00000000" w:rsidP="00000000" w:rsidRDefault="00000000" w:rsidRPr="00000000" w14:paraId="0000002B">
      <w:pPr>
        <w:spacing w:after="280" w:before="240" w:line="360" w:lineRule="auto"/>
        <w:ind w:firstLine="70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expressão </w:t>
      </w:r>
      <w:r w:rsidDel="00000000" w:rsidR="00000000" w:rsidRPr="00000000">
        <w:rPr>
          <w:rFonts w:ascii="Century Gothic" w:cs="Century Gothic" w:eastAsia="Century Gothic" w:hAnsi="Century Gothic"/>
          <w:i w:val="1"/>
          <w:sz w:val="24"/>
          <w:szCs w:val="24"/>
          <w:rtl w:val="0"/>
        </w:rPr>
        <w:t xml:space="preserve">bat tsion </w:t>
      </w:r>
      <w:r w:rsidDel="00000000" w:rsidR="00000000" w:rsidRPr="00000000">
        <w:rPr>
          <w:rFonts w:ascii="Century Gothic" w:cs="Century Gothic" w:eastAsia="Century Gothic" w:hAnsi="Century Gothic"/>
          <w:sz w:val="24"/>
          <w:szCs w:val="24"/>
          <w:rtl w:val="0"/>
        </w:rPr>
        <w:t xml:space="preserve">(“filha de Sião”)</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é um exemplo paradigmático do tipo de construção apresentada por Dobbs-Allsopp. Por seu uso </w:t>
      </w:r>
      <w:r w:rsidDel="00000000" w:rsidR="00000000" w:rsidRPr="00000000">
        <w:rPr>
          <w:rFonts w:ascii="Century Gothic" w:cs="Century Gothic" w:eastAsia="Century Gothic" w:hAnsi="Century Gothic"/>
          <w:i w:val="1"/>
          <w:sz w:val="24"/>
          <w:szCs w:val="24"/>
          <w:rtl w:val="0"/>
        </w:rPr>
        <w:t xml:space="preserve">sui generis</w:t>
      </w:r>
      <w:r w:rsidDel="00000000" w:rsidR="00000000" w:rsidRPr="00000000">
        <w:rPr>
          <w:rFonts w:ascii="Century Gothic" w:cs="Century Gothic" w:eastAsia="Century Gothic" w:hAnsi="Century Gothic"/>
          <w:sz w:val="24"/>
          <w:szCs w:val="24"/>
          <w:rtl w:val="0"/>
        </w:rPr>
        <w:t xml:space="preserve"> e sua importância na Bíblia Hebraica, neste artigo, propõe-se sua análise. Além disso, há uma amplitude de sentidos nessa expressão que nos convida a argui-la. Nos profetas pós-exílicos, sua equivalência com a cidade de Jerusalém aparentemente é clara — como em Sofonias. Já nos profetas pré-exílicos, ela não é tão direta. Isso não passa despercebido, o que faz de seu emprego nos textos um tema de estudo.</w:t>
      </w:r>
    </w:p>
    <w:p w:rsidR="00000000" w:rsidDel="00000000" w:rsidP="00000000" w:rsidRDefault="00000000" w:rsidRPr="00000000" w14:paraId="0000002C">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Assim, a partir da análise dos textos bíblicos, intenta-se apreender o significado de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em seu contexto e localizar a singularidade e os possíveis desvios dos profetas em relação à tradição mesopotâmica. </w:t>
      </w:r>
    </w:p>
    <w:p w:rsidR="00000000" w:rsidDel="00000000" w:rsidP="00000000" w:rsidRDefault="00000000" w:rsidRPr="00000000" w14:paraId="0000002D">
      <w:pPr>
        <w:spacing w:after="0" w:line="360" w:lineRule="auto"/>
        <w:ind w:firstLine="709"/>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E">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w:t>
      </w:r>
      <w:r w:rsidDel="00000000" w:rsidR="00000000" w:rsidRPr="00000000">
        <w:rPr>
          <w:rFonts w:ascii="Century Gothic" w:cs="Century Gothic" w:eastAsia="Century Gothic" w:hAnsi="Century Gothic"/>
          <w:b w:val="1"/>
          <w:i w:val="1"/>
          <w:sz w:val="24"/>
          <w:szCs w:val="24"/>
          <w:rtl w:val="0"/>
        </w:rPr>
        <w:t xml:space="preserve">Bat tsion</w:t>
      </w:r>
      <w:r w:rsidDel="00000000" w:rsidR="00000000" w:rsidRPr="00000000">
        <w:rPr>
          <w:rFonts w:ascii="Century Gothic" w:cs="Century Gothic" w:eastAsia="Century Gothic" w:hAnsi="Century Gothic"/>
          <w:b w:val="1"/>
          <w:sz w:val="24"/>
          <w:szCs w:val="24"/>
          <w:rtl w:val="0"/>
        </w:rPr>
        <w:t xml:space="preserve"> na Bíblia Hebraica</w:t>
      </w:r>
    </w:p>
    <w:p w:rsidR="00000000" w:rsidDel="00000000" w:rsidP="00000000" w:rsidRDefault="00000000" w:rsidRPr="00000000" w14:paraId="0000002F">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termo hebraico </w:t>
      </w:r>
      <w:r w:rsidDel="00000000" w:rsidR="00000000" w:rsidRPr="00000000">
        <w:rPr>
          <w:rFonts w:ascii="Century Gothic" w:cs="Century Gothic" w:eastAsia="Century Gothic" w:hAnsi="Century Gothic"/>
          <w:i w:val="1"/>
          <w:sz w:val="24"/>
          <w:szCs w:val="24"/>
          <w:rtl w:val="0"/>
        </w:rPr>
        <w:t xml:space="preserve">bat</w:t>
      </w:r>
      <w:r w:rsidDel="00000000" w:rsidR="00000000" w:rsidRPr="00000000">
        <w:rPr>
          <w:rFonts w:ascii="Century Gothic" w:cs="Century Gothic" w:eastAsia="Century Gothic" w:hAnsi="Century Gothic"/>
          <w:sz w:val="24"/>
          <w:szCs w:val="24"/>
          <w:rtl w:val="0"/>
        </w:rPr>
        <w:t xml:space="preserve">, cujo plural é</w:t>
      </w:r>
      <w:r w:rsidDel="00000000" w:rsidR="00000000" w:rsidRPr="00000000">
        <w:rPr>
          <w:rFonts w:ascii="Century Gothic" w:cs="Century Gothic" w:eastAsia="Century Gothic" w:hAnsi="Century Gothic"/>
          <w:i w:val="1"/>
          <w:sz w:val="24"/>
          <w:szCs w:val="24"/>
          <w:rtl w:val="0"/>
        </w:rPr>
        <w:t xml:space="preserve"> banot</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significa “filha”, biológica ou adotiva. Como afirma Kimberly R. Russaw (2016, p. 59), assim como outras palavras que designam membros da família, trata-se de um termo relacional. Uma moça é denominada </w:t>
      </w:r>
      <w:r w:rsidDel="00000000" w:rsidR="00000000" w:rsidRPr="00000000">
        <w:rPr>
          <w:rFonts w:ascii="Century Gothic" w:cs="Century Gothic" w:eastAsia="Century Gothic" w:hAnsi="Century Gothic"/>
          <w:i w:val="1"/>
          <w:sz w:val="24"/>
          <w:szCs w:val="24"/>
          <w:rtl w:val="0"/>
        </w:rPr>
        <w:t xml:space="preserve">bat</w:t>
      </w:r>
      <w:r w:rsidDel="00000000" w:rsidR="00000000" w:rsidRPr="00000000">
        <w:rPr>
          <w:rFonts w:ascii="Century Gothic" w:cs="Century Gothic" w:eastAsia="Century Gothic" w:hAnsi="Century Gothic"/>
          <w:sz w:val="24"/>
          <w:szCs w:val="24"/>
          <w:rtl w:val="0"/>
        </w:rPr>
        <w:t xml:space="preserve"> porque tem um relacionamento de descendente com um familiar. Este pode ser um pai ou outra figura, como no caso de Ester, adotada por Mordecai, seu primo/tio (Et 2.5-7). </w:t>
      </w:r>
    </w:p>
    <w:p w:rsidR="00000000" w:rsidDel="00000000" w:rsidP="00000000" w:rsidRDefault="00000000" w:rsidRPr="00000000" w14:paraId="00000030">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 família bíblica, pais e filhos homens possuem autoridade e proeminência. Por causa disso, a filha vive sob sua autoridade legal, e muitos privilégios e direitos são circunscritos à esfera dessa dependência. Via de regra, ela se submete aos pais e aos irmãos e desfruta de sua proteção irrestrita, até o momento em que se casa, quando passa a integrar a família do esposo. Então, adquire novo </w:t>
      </w:r>
      <w:r w:rsidDel="00000000" w:rsidR="00000000" w:rsidRPr="00000000">
        <w:rPr>
          <w:rFonts w:ascii="Century Gothic" w:cs="Century Gothic" w:eastAsia="Century Gothic" w:hAnsi="Century Gothic"/>
          <w:i w:val="1"/>
          <w:sz w:val="24"/>
          <w:szCs w:val="24"/>
          <w:rtl w:val="0"/>
        </w:rPr>
        <w:t xml:space="preserve">status</w:t>
      </w:r>
      <w:r w:rsidDel="00000000" w:rsidR="00000000" w:rsidRPr="00000000">
        <w:rPr>
          <w:rFonts w:ascii="Century Gothic" w:cs="Century Gothic" w:eastAsia="Century Gothic" w:hAnsi="Century Gothic"/>
          <w:sz w:val="24"/>
          <w:szCs w:val="24"/>
          <w:rtl w:val="0"/>
        </w:rPr>
        <w:t xml:space="preserve">: o de esposa e, talvez, o de mãe. </w:t>
      </w:r>
    </w:p>
    <w:p w:rsidR="00000000" w:rsidDel="00000000" w:rsidP="00000000" w:rsidRDefault="00000000" w:rsidRPr="00000000" w14:paraId="00000031">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Expressões poéticas e metáforas formadas com o substantivo </w:t>
      </w:r>
      <w:r w:rsidDel="00000000" w:rsidR="00000000" w:rsidRPr="00000000">
        <w:rPr>
          <w:rFonts w:ascii="Century Gothic" w:cs="Century Gothic" w:eastAsia="Century Gothic" w:hAnsi="Century Gothic"/>
          <w:i w:val="1"/>
          <w:sz w:val="24"/>
          <w:szCs w:val="24"/>
          <w:rtl w:val="0"/>
        </w:rPr>
        <w:t xml:space="preserve">bat</w:t>
      </w:r>
      <w:r w:rsidDel="00000000" w:rsidR="00000000" w:rsidRPr="00000000">
        <w:rPr>
          <w:rFonts w:ascii="Century Gothic" w:cs="Century Gothic" w:eastAsia="Century Gothic" w:hAnsi="Century Gothic"/>
          <w:i w:val="1"/>
          <w:sz w:val="24"/>
          <w:szCs w:val="24"/>
          <w:vertAlign w:val="superscript"/>
        </w:rPr>
        <w:footnoteReference w:customMarkFollows="0" w:id="8"/>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ocorrem centenas de vezes na Bíblia Hebraica. Por volta de 70 delas têm o sentido estudado neste ensaio</w:t>
      </w:r>
      <w:r w:rsidDel="00000000" w:rsidR="00000000" w:rsidRPr="00000000">
        <w:rPr>
          <w:rFonts w:ascii="Century Gothic" w:cs="Century Gothic" w:eastAsia="Century Gothic" w:hAnsi="Century Gothic"/>
          <w:sz w:val="24"/>
          <w:szCs w:val="24"/>
          <w:vertAlign w:val="superscript"/>
        </w:rPr>
        <w:footnoteReference w:customMarkFollows="0" w:id="9"/>
      </w:r>
      <w:r w:rsidDel="00000000" w:rsidR="00000000" w:rsidRPr="00000000">
        <w:rPr>
          <w:rFonts w:ascii="Century Gothic" w:cs="Century Gothic" w:eastAsia="Century Gothic" w:hAnsi="Century Gothic"/>
          <w:sz w:val="24"/>
          <w:szCs w:val="24"/>
          <w:rtl w:val="0"/>
        </w:rPr>
        <w:t xml:space="preserve">. Segundo Dobbs-Allsopp, pelo menos 50 são designações de cidades ou países personificados em textos que pertencem ao gênero lamentação (1995, p. 454). </w:t>
      </w:r>
    </w:p>
    <w:p w:rsidR="00000000" w:rsidDel="00000000" w:rsidP="00000000" w:rsidRDefault="00000000" w:rsidRPr="00000000" w14:paraId="00000032">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Já a expressão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ou “filha de Sião”</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especificamente,</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ocorre</w:t>
      </w:r>
      <w:r w:rsidDel="00000000" w:rsidR="00000000" w:rsidRPr="00000000">
        <w:rPr>
          <w:rFonts w:ascii="Century Gothic" w:cs="Century Gothic" w:eastAsia="Century Gothic" w:hAnsi="Century Gothic"/>
          <w:i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26 vezes na Bíblia Hebraica</w:t>
      </w:r>
      <w:r w:rsidDel="00000000" w:rsidR="00000000" w:rsidRPr="00000000">
        <w:rPr>
          <w:rFonts w:ascii="Century Gothic" w:cs="Century Gothic" w:eastAsia="Century Gothic" w:hAnsi="Century Gothic"/>
          <w:sz w:val="24"/>
          <w:szCs w:val="24"/>
          <w:vertAlign w:val="superscript"/>
        </w:rPr>
        <w:footnoteReference w:customMarkFollows="0" w:id="10"/>
      </w:r>
      <w:r w:rsidDel="00000000" w:rsidR="00000000" w:rsidRPr="00000000">
        <w:rPr>
          <w:rFonts w:ascii="Century Gothic" w:cs="Century Gothic" w:eastAsia="Century Gothic" w:hAnsi="Century Gothic"/>
          <w:sz w:val="24"/>
          <w:szCs w:val="24"/>
          <w:rtl w:val="0"/>
        </w:rPr>
        <w:t xml:space="preserve">, 14 das quais na literatura pré-exílica, entre os séculos 8º e 7º — sempre no contexto da poesia. </w:t>
      </w:r>
    </w:p>
    <w:p w:rsidR="00000000" w:rsidDel="00000000" w:rsidP="00000000" w:rsidRDefault="00000000" w:rsidRPr="00000000" w14:paraId="00000033">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Bat tsion </w:t>
      </w:r>
      <w:r w:rsidDel="00000000" w:rsidR="00000000" w:rsidRPr="00000000">
        <w:rPr>
          <w:rFonts w:ascii="Century Gothic" w:cs="Century Gothic" w:eastAsia="Century Gothic" w:hAnsi="Century Gothic"/>
          <w:sz w:val="24"/>
          <w:szCs w:val="24"/>
          <w:rtl w:val="0"/>
        </w:rPr>
        <w:t xml:space="preserve">é uma fórmula importante na Bíblia Hebraica, conhecida da audiência dos textos, embora usada com pouca frequência. Ela ocorre tanto em oráculos de destruição quanto em profecias de restauração. Em 13 passagens bíblicas, o contexto geral tem um sentido positivo. Em 12 passagens, </w:t>
      </w:r>
      <w:r w:rsidDel="00000000" w:rsidR="00000000" w:rsidRPr="00000000">
        <w:rPr>
          <w:rFonts w:ascii="Century Gothic" w:cs="Century Gothic" w:eastAsia="Century Gothic" w:hAnsi="Century Gothic"/>
          <w:i w:val="1"/>
          <w:sz w:val="24"/>
          <w:szCs w:val="24"/>
          <w:rtl w:val="0"/>
        </w:rPr>
        <w:t xml:space="preserve">bat tsion </w:t>
      </w:r>
      <w:r w:rsidDel="00000000" w:rsidR="00000000" w:rsidRPr="00000000">
        <w:rPr>
          <w:rFonts w:ascii="Century Gothic" w:cs="Century Gothic" w:eastAsia="Century Gothic" w:hAnsi="Century Gothic"/>
          <w:sz w:val="24"/>
          <w:szCs w:val="24"/>
          <w:rtl w:val="0"/>
        </w:rPr>
        <w:t xml:space="preserve">está associada a um sentido negativo. E, em uma passagem, no livro de Miqueias, confrontamo-nos tanto com um sentido negativo (a ida ao cativeiro babilônico) quanto um positivo (uma promessa de restauração futura). Portanto, não há uma predominância do uso dessa expressão em sentido positivo ou negativo.</w:t>
      </w:r>
    </w:p>
    <w:p w:rsidR="00000000" w:rsidDel="00000000" w:rsidP="00000000" w:rsidRDefault="00000000" w:rsidRPr="00000000" w14:paraId="00000034">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primeira vez em que as expressões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e </w:t>
      </w:r>
      <w:r w:rsidDel="00000000" w:rsidR="00000000" w:rsidRPr="00000000">
        <w:rPr>
          <w:rFonts w:ascii="Century Gothic" w:cs="Century Gothic" w:eastAsia="Century Gothic" w:hAnsi="Century Gothic"/>
          <w:i w:val="1"/>
          <w:sz w:val="24"/>
          <w:szCs w:val="24"/>
          <w:rtl w:val="0"/>
        </w:rPr>
        <w:t xml:space="preserve">bat yerushalaim </w:t>
      </w:r>
      <w:r w:rsidDel="00000000" w:rsidR="00000000" w:rsidRPr="00000000">
        <w:rPr>
          <w:rFonts w:ascii="Century Gothic" w:cs="Century Gothic" w:eastAsia="Century Gothic" w:hAnsi="Century Gothic"/>
          <w:sz w:val="24"/>
          <w:szCs w:val="24"/>
          <w:rtl w:val="0"/>
        </w:rPr>
        <w:t xml:space="preserve">figuram é em 2Reis 19.21, numa fala do profeta Isaías:</w:t>
      </w:r>
    </w:p>
    <w:p w:rsidR="00000000" w:rsidDel="00000000" w:rsidP="00000000" w:rsidRDefault="00000000" w:rsidRPr="00000000" w14:paraId="00000035">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[Ela] despreza a ti</w:t>
      </w:r>
    </w:p>
    <w:p w:rsidR="00000000" w:rsidDel="00000000" w:rsidP="00000000" w:rsidRDefault="00000000" w:rsidRPr="00000000" w14:paraId="0000003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zomba de ti,</w:t>
      </w:r>
    </w:p>
    <w:p w:rsidR="00000000" w:rsidDel="00000000" w:rsidP="00000000" w:rsidRDefault="00000000" w:rsidRPr="00000000" w14:paraId="00000037">
      <w:pPr>
        <w:spacing w:after="0" w:line="240" w:lineRule="auto"/>
        <w:ind w:left="226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 jovem</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filha de Sião</w:t>
      </w:r>
    </w:p>
    <w:p w:rsidR="00000000" w:rsidDel="00000000" w:rsidP="00000000" w:rsidRDefault="00000000" w:rsidRPr="00000000" w14:paraId="00000038">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detrás de ti meneia a cabeça</w:t>
      </w:r>
    </w:p>
    <w:p w:rsidR="00000000" w:rsidDel="00000000" w:rsidP="00000000" w:rsidRDefault="00000000" w:rsidRPr="00000000" w14:paraId="00000039">
      <w:pPr>
        <w:spacing w:after="0" w:line="240" w:lineRule="auto"/>
        <w:ind w:left="226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 filha de Jerusalém</w:t>
      </w:r>
    </w:p>
    <w:p w:rsidR="00000000" w:rsidDel="00000000" w:rsidP="00000000" w:rsidRDefault="00000000" w:rsidRPr="00000000" w14:paraId="0000003A">
      <w:pPr>
        <w:spacing w:after="0" w:line="240" w:lineRule="auto"/>
        <w:ind w:left="2268" w:firstLine="0"/>
        <w:jc w:val="both"/>
        <w:rPr>
          <w:rFonts w:ascii="Century Gothic" w:cs="Century Gothic" w:eastAsia="Century Gothic" w:hAnsi="Century Gothic"/>
          <w:sz w:val="20"/>
          <w:szCs w:val="20"/>
        </w:rPr>
      </w:pPr>
      <w:bookmarkStart w:colFirst="0" w:colLast="0" w:name="_heading=h.30j0zll" w:id="1"/>
      <w:bookmarkEnd w:id="1"/>
      <w:r w:rsidDel="00000000" w:rsidR="00000000" w:rsidRPr="00000000">
        <w:rPr>
          <w:rFonts w:ascii="Century Gothic" w:cs="Century Gothic" w:eastAsia="Century Gothic" w:hAnsi="Century Gothic"/>
          <w:sz w:val="20"/>
          <w:szCs w:val="20"/>
          <w:rtl w:val="0"/>
        </w:rPr>
        <w:t xml:space="preserve">A quem provocaste</w:t>
      </w:r>
    </w:p>
    <w:p w:rsidR="00000000" w:rsidDel="00000000" w:rsidP="00000000" w:rsidRDefault="00000000" w:rsidRPr="00000000" w14:paraId="0000003B">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insultaste?</w:t>
      </w:r>
    </w:p>
    <w:p w:rsidR="00000000" w:rsidDel="00000000" w:rsidP="00000000" w:rsidRDefault="00000000" w:rsidRPr="00000000" w14:paraId="0000003C">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contra quem elevaste a voz</w:t>
      </w:r>
    </w:p>
    <w:p w:rsidR="00000000" w:rsidDel="00000000" w:rsidP="00000000" w:rsidRDefault="00000000" w:rsidRPr="00000000" w14:paraId="0000003D">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ergueste com altura os olhos?</w:t>
      </w:r>
    </w:p>
    <w:p w:rsidR="00000000" w:rsidDel="00000000" w:rsidP="00000000" w:rsidRDefault="00000000" w:rsidRPr="00000000" w14:paraId="0000003E">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Contra o Santo de Israel. </w:t>
      </w:r>
    </w:p>
    <w:p w:rsidR="00000000" w:rsidDel="00000000" w:rsidP="00000000" w:rsidRDefault="00000000" w:rsidRPr="00000000" w14:paraId="0000003F">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(Tradução e grifos nossos)</w:t>
      </w:r>
      <w:r w:rsidDel="00000000" w:rsidR="00000000" w:rsidRPr="00000000">
        <w:rPr>
          <w:rFonts w:ascii="Century Gothic" w:cs="Century Gothic" w:eastAsia="Century Gothic" w:hAnsi="Century Gothic"/>
          <w:sz w:val="20"/>
          <w:szCs w:val="20"/>
          <w:vertAlign w:val="superscript"/>
        </w:rPr>
        <w:footnoteReference w:customMarkFollows="0" w:id="11"/>
      </w:r>
      <w:r w:rsidDel="00000000" w:rsidR="00000000" w:rsidRPr="00000000">
        <w:rPr>
          <w:rtl w:val="0"/>
        </w:rPr>
      </w:r>
    </w:p>
    <w:p w:rsidR="00000000" w:rsidDel="00000000" w:rsidP="00000000" w:rsidRDefault="00000000" w:rsidRPr="00000000" w14:paraId="00000040">
      <w:pPr>
        <w:spacing w:after="0" w:line="240" w:lineRule="auto"/>
        <w:ind w:left="2268"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1">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texto, Isaías se dirige a Senaqueribe, rei da Assíria entre 705 e 681 A.E.C. O profeta, nessa passagem, é apresentado como um personagem que aconselha o rei Ezequias durante o cerco a Jerusalém e, em sua fala, responde à arrogância dos assírios com um pronunciamento de juízo (compare com o Salmo 2; veja Isaías 10, especialmente os versículos 5-34</w:t>
      </w:r>
      <w:r w:rsidDel="00000000" w:rsidR="00000000" w:rsidRPr="00000000">
        <w:rPr>
          <w:rFonts w:ascii="Century Gothic" w:cs="Century Gothic" w:eastAsia="Century Gothic" w:hAnsi="Century Gothic"/>
          <w:sz w:val="24"/>
          <w:szCs w:val="24"/>
          <w:vertAlign w:val="superscript"/>
        </w:rPr>
        <w:footnoteReference w:customMarkFollows="0" w:id="12"/>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42">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Na mensagem a Senaqueribe, os verbos iniciais estão flexionados em terceira pessoa, no feminino singular. Seu referente é identificado na linha poética seguinte, e se trata da filha de Sião, chamada em paralelo de “filha de Jerusalém”. </w:t>
      </w:r>
    </w:p>
    <w:p w:rsidR="00000000" w:rsidDel="00000000" w:rsidP="00000000" w:rsidRDefault="00000000" w:rsidRPr="00000000" w14:paraId="00000043">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Assim como em outras ocorrências da palavra </w:t>
      </w:r>
      <w:r w:rsidDel="00000000" w:rsidR="00000000" w:rsidRPr="00000000">
        <w:rPr>
          <w:rFonts w:ascii="Century Gothic" w:cs="Century Gothic" w:eastAsia="Century Gothic" w:hAnsi="Century Gothic"/>
          <w:i w:val="1"/>
          <w:sz w:val="24"/>
          <w:szCs w:val="24"/>
          <w:rtl w:val="0"/>
        </w:rPr>
        <w:t xml:space="preserve">bat</w:t>
      </w:r>
      <w:r w:rsidDel="00000000" w:rsidR="00000000" w:rsidRPr="00000000">
        <w:rPr>
          <w:rFonts w:ascii="Century Gothic" w:cs="Century Gothic" w:eastAsia="Century Gothic" w:hAnsi="Century Gothic"/>
          <w:sz w:val="24"/>
          <w:szCs w:val="24"/>
          <w:rtl w:val="0"/>
        </w:rPr>
        <w:t xml:space="preserve">, o poeta une as ideias de “jovem” e “filha”. Esse par conceitual é importante na Bíblia Hebraica, uma vez que nos oráculos de destruição simbolizará a cidade fortificada. A invasão inimiga e a conquista da cidade são apresentadas como o estupro da moça, deflorada por estrangeiros; a imagem explícita de um aríete abrindo uma brecha na muralha protetora da cidade (2Rs 12.4-5; Ne 6.1; Jr 52.7; Ez 13.5; 21.22; 26.10 etc.) pode ser percebida como aludindo ao estupro, ao hímen penetrado e rompido de uma virgem. Esse símile poderoso e violento, que ressalta a fragilidade e a vulnerabilidade da filha/cidade, funciona como elemento intensificador na construção de um discurso que enfatiza a brutalidade perpetrada pelo inimigo invasor e acentua a especificidade da expressão, na literatura profética, que tem no sentido da virgindade o seu maior apelo, desviando-se flagrantemente das características das deusas mesopotâmicas.</w:t>
      </w:r>
    </w:p>
    <w:p w:rsidR="00000000" w:rsidDel="00000000" w:rsidP="00000000" w:rsidRDefault="00000000" w:rsidRPr="00000000" w14:paraId="00000044">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capítulo 19 do Segundo Livro dos Reis,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é uma inequívoca jovem vulnerável, ameaçada pelos assírios (v. 21). No entanto, o tom irônico prevalece. Os dois verbos hebraicos da primeira linha, traduzidos por “desdenhar” e “zombar”, são quase sinônimos. A expressão “meneia a cabeça” é semelhante em significado, produzindo mais um efeito de eco. Com isso, o profeta opera uma inversão, sendo a afronta cometida contra Senaqueribe (e não contra o Santo de Israel). E é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quem protagoniza essa afronta. </w:t>
      </w:r>
    </w:p>
    <w:p w:rsidR="00000000" w:rsidDel="00000000" w:rsidP="00000000" w:rsidRDefault="00000000" w:rsidRPr="00000000" w14:paraId="00000045">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Isso pode parecer um contrassenso, já que a filha-jovem-virgem é uma das personagens mais frágeis da família bíblica. Aqui ela surge menosprezando não apenas um rei bélico, mas o responsável pela "aniquilação em grande escala das cidades de Judá em 701 a.C." (MAZAR, 2003, p. 417). A explicação para essa atitude de zombaria se dá nos versos subsequentes.</w:t>
      </w:r>
    </w:p>
    <w:p w:rsidR="00000000" w:rsidDel="00000000" w:rsidP="00000000" w:rsidRDefault="00000000" w:rsidRPr="00000000" w14:paraId="00000046">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profeta endereça-se ao rei com perguntas retóricas: “A quem provocaste e insultaste? E contra quem elevaste a voz e ergueste com altura os olhos?” A resposta esperada seria: contra a jovem filha de Sião. Mas, então, ele surpreende a sua audiência, revelando ao rei que foi contra o Santo de Israel que Senaqueribe se insurgiu. Note-se que a audácia que caracteriza a atuação de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(zombar em voz alta e com gestos de cabeça) está presente naquela do rei assírio (elevar a voz e erguer os olhos). </w:t>
      </w:r>
    </w:p>
    <w:p w:rsidR="00000000" w:rsidDel="00000000" w:rsidP="00000000" w:rsidRDefault="00000000" w:rsidRPr="00000000" w14:paraId="00000047">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 texto, o próprio Deus, como o patriarca de um clã, assume a injúria feita contra a filha e a toma para si. Isso empodera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que não está desamparada, como pode parecer à primeira vista, mas goza da proteção divina. Por isso, ela despreza abertamente a afronta do inimigo. </w:t>
      </w:r>
    </w:p>
    <w:p w:rsidR="00000000" w:rsidDel="00000000" w:rsidP="00000000" w:rsidRDefault="00000000" w:rsidRPr="00000000" w14:paraId="00000048">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Essa passagem é emblemática por ser a primeira ocorrência de </w:t>
      </w:r>
      <w:r w:rsidDel="00000000" w:rsidR="00000000" w:rsidRPr="00000000">
        <w:rPr>
          <w:rFonts w:ascii="Century Gothic" w:cs="Century Gothic" w:eastAsia="Century Gothic" w:hAnsi="Century Gothic"/>
          <w:i w:val="1"/>
          <w:sz w:val="24"/>
          <w:szCs w:val="24"/>
          <w:rtl w:val="0"/>
        </w:rPr>
        <w:t xml:space="preserve">bat tsion </w:t>
      </w:r>
      <w:r w:rsidDel="00000000" w:rsidR="00000000" w:rsidRPr="00000000">
        <w:rPr>
          <w:rFonts w:ascii="Century Gothic" w:cs="Century Gothic" w:eastAsia="Century Gothic" w:hAnsi="Century Gothic"/>
          <w:sz w:val="24"/>
          <w:szCs w:val="24"/>
          <w:rtl w:val="0"/>
        </w:rPr>
        <w:t xml:space="preserve">na Bíblia Hebraica. Além disso, a imagem da filha ameaçada, construída aqui, se repetirá em outros textos, sobretudo nos profetas, ressaltando a violência e a impiedade dos inimigos de Israel (cf. Mq 4.11).</w:t>
      </w:r>
    </w:p>
    <w:p w:rsidR="00000000" w:rsidDel="00000000" w:rsidP="00000000" w:rsidRDefault="00000000" w:rsidRPr="00000000" w14:paraId="00000049">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 expressão </w:t>
      </w:r>
      <w:r w:rsidDel="00000000" w:rsidR="00000000" w:rsidRPr="00000000">
        <w:rPr>
          <w:rFonts w:ascii="Century Gothic" w:cs="Century Gothic" w:eastAsia="Century Gothic" w:hAnsi="Century Gothic"/>
          <w:i w:val="1"/>
          <w:sz w:val="24"/>
          <w:szCs w:val="24"/>
          <w:rtl w:val="0"/>
        </w:rPr>
        <w:t xml:space="preserve">bat yerushalaim</w:t>
      </w:r>
      <w:r w:rsidDel="00000000" w:rsidR="00000000" w:rsidRPr="00000000">
        <w:rPr>
          <w:rFonts w:ascii="Century Gothic" w:cs="Century Gothic" w:eastAsia="Century Gothic" w:hAnsi="Century Gothic"/>
          <w:sz w:val="24"/>
          <w:szCs w:val="24"/>
          <w:rtl w:val="0"/>
        </w:rPr>
        <w:t xml:space="preserve"> (“filha de Jerusalém”), que acompanha </w:t>
      </w:r>
      <w:r w:rsidDel="00000000" w:rsidR="00000000" w:rsidRPr="00000000">
        <w:rPr>
          <w:rFonts w:ascii="Century Gothic" w:cs="Century Gothic" w:eastAsia="Century Gothic" w:hAnsi="Century Gothic"/>
          <w:i w:val="1"/>
          <w:sz w:val="24"/>
          <w:szCs w:val="24"/>
          <w:rtl w:val="0"/>
        </w:rPr>
        <w:t xml:space="preserve">bat tsion </w:t>
      </w:r>
      <w:r w:rsidDel="00000000" w:rsidR="00000000" w:rsidRPr="00000000">
        <w:rPr>
          <w:rFonts w:ascii="Century Gothic" w:cs="Century Gothic" w:eastAsia="Century Gothic" w:hAnsi="Century Gothic"/>
          <w:sz w:val="24"/>
          <w:szCs w:val="24"/>
          <w:rtl w:val="0"/>
        </w:rPr>
        <w:t xml:space="preserve">em 2Reis 19.21, ocorre oito vezes na Bíblia Hebraica. Na maior parte delas, as expressões figuram juntas. Em Lamentações, por exemplo, lê-se:</w:t>
      </w:r>
    </w:p>
    <w:p w:rsidR="00000000" w:rsidDel="00000000" w:rsidP="00000000" w:rsidRDefault="00000000" w:rsidRPr="00000000" w14:paraId="0000004A">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como presto testemunho a ti?</w:t>
      </w:r>
    </w:p>
    <w:p w:rsidR="00000000" w:rsidDel="00000000" w:rsidP="00000000" w:rsidRDefault="00000000" w:rsidRPr="00000000" w14:paraId="0000004B">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que te assemelho,</w:t>
      </w:r>
    </w:p>
    <w:p w:rsidR="00000000" w:rsidDel="00000000" w:rsidP="00000000" w:rsidRDefault="00000000" w:rsidRPr="00000000" w14:paraId="0000004C">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ó </w:t>
      </w:r>
      <w:r w:rsidDel="00000000" w:rsidR="00000000" w:rsidRPr="00000000">
        <w:rPr>
          <w:rFonts w:ascii="Century Gothic" w:cs="Century Gothic" w:eastAsia="Century Gothic" w:hAnsi="Century Gothic"/>
          <w:b w:val="1"/>
          <w:sz w:val="20"/>
          <w:szCs w:val="20"/>
          <w:rtl w:val="0"/>
        </w:rPr>
        <w:t xml:space="preserve">filha de Jerusalém</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4D">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que te comparo </w:t>
      </w:r>
    </w:p>
    <w:p w:rsidR="00000000" w:rsidDel="00000000" w:rsidP="00000000" w:rsidRDefault="00000000" w:rsidRPr="00000000" w14:paraId="0000004E">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que eu te console, </w:t>
      </w:r>
    </w:p>
    <w:p w:rsidR="00000000" w:rsidDel="00000000" w:rsidP="00000000" w:rsidRDefault="00000000" w:rsidRPr="00000000" w14:paraId="0000004F">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jovem </w:t>
      </w:r>
      <w:r w:rsidDel="00000000" w:rsidR="00000000" w:rsidRPr="00000000">
        <w:rPr>
          <w:rFonts w:ascii="Century Gothic" w:cs="Century Gothic" w:eastAsia="Century Gothic" w:hAnsi="Century Gothic"/>
          <w:b w:val="1"/>
          <w:sz w:val="20"/>
          <w:szCs w:val="20"/>
          <w:rtl w:val="0"/>
        </w:rPr>
        <w:t xml:space="preserve">filha de Sião</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50">
      <w:pPr>
        <w:spacing w:after="0" w:line="240" w:lineRule="auto"/>
        <w:ind w:left="2268" w:firstLine="0"/>
        <w:jc w:val="both"/>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porque grande como o mar</w:t>
      </w:r>
    </w:p>
    <w:p w:rsidR="00000000" w:rsidDel="00000000" w:rsidP="00000000" w:rsidRDefault="00000000" w:rsidRPr="00000000" w14:paraId="00000051">
      <w:pPr>
        <w:spacing w:after="0" w:line="240" w:lineRule="auto"/>
        <w:ind w:left="2268" w:firstLine="0"/>
        <w:jc w:val="both"/>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tua </w:t>
      </w:r>
      <w:r w:rsidDel="00000000" w:rsidR="00000000" w:rsidRPr="00000000">
        <w:rPr>
          <w:rFonts w:ascii="Century Gothic" w:cs="Century Gothic" w:eastAsia="Century Gothic" w:hAnsi="Century Gothic"/>
          <w:b w:val="1"/>
          <w:sz w:val="20"/>
          <w:szCs w:val="20"/>
          <w:highlight w:val="yellow"/>
          <w:rtl w:val="0"/>
        </w:rPr>
        <w:t xml:space="preserve">brecha</w:t>
      </w:r>
      <w:r w:rsidDel="00000000" w:rsidR="00000000" w:rsidRPr="00000000">
        <w:rPr>
          <w:rtl w:val="0"/>
        </w:rPr>
      </w:r>
    </w:p>
    <w:p w:rsidR="00000000" w:rsidDel="00000000" w:rsidP="00000000" w:rsidRDefault="00000000" w:rsidRPr="00000000" w14:paraId="00000052">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yellow"/>
          <w:rtl w:val="0"/>
        </w:rPr>
        <w:t xml:space="preserve">quem te curará?</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53">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(Lm 2.13, tradução e grifos nossos)</w:t>
      </w:r>
    </w:p>
    <w:p w:rsidR="00000000" w:rsidDel="00000000" w:rsidP="00000000" w:rsidRDefault="00000000" w:rsidRPr="00000000" w14:paraId="00000054">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5">
      <w:pPr>
        <w:spacing w:after="0" w:line="240" w:lineRule="auto"/>
        <w:ind w:left="2268"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6">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Observa-se, aqui, o paralelismo das expressões, atreladas ao termo hebraico </w:t>
      </w:r>
      <w:r w:rsidDel="00000000" w:rsidR="00000000" w:rsidRPr="00000000">
        <w:rPr>
          <w:rFonts w:ascii="Century Gothic" w:cs="Century Gothic" w:eastAsia="Century Gothic" w:hAnsi="Century Gothic"/>
          <w:i w:val="1"/>
          <w:strike w:val="1"/>
          <w:sz w:val="24"/>
          <w:szCs w:val="24"/>
          <w:rtl w:val="0"/>
        </w:rPr>
        <w:t xml:space="preserve">shevtem </w:t>
      </w:r>
      <w:r w:rsidDel="00000000" w:rsidR="00000000" w:rsidRPr="00000000">
        <w:rPr>
          <w:rFonts w:ascii="Century Gothic" w:cs="Century Gothic" w:eastAsia="Century Gothic" w:hAnsi="Century Gothic"/>
          <w:i w:val="1"/>
          <w:sz w:val="24"/>
          <w:szCs w:val="24"/>
          <w:highlight w:val="yellow"/>
          <w:rtl w:val="0"/>
        </w:rPr>
        <w:t xml:space="preserve">shever</w:t>
      </w:r>
      <w:r w:rsidDel="00000000" w:rsidR="00000000" w:rsidRPr="00000000">
        <w:rPr>
          <w:rFonts w:ascii="Century Gothic" w:cs="Century Gothic" w:eastAsia="Century Gothic" w:hAnsi="Century Gothic"/>
          <w:sz w:val="24"/>
          <w:szCs w:val="24"/>
          <w:highlight w:val="yellow"/>
          <w:rtl w:val="0"/>
        </w:rPr>
        <w:t xml:space="preserve">.</w:t>
      </w:r>
      <w:r w:rsidDel="00000000" w:rsidR="00000000" w:rsidRPr="00000000">
        <w:rPr>
          <w:rFonts w:ascii="Century Gothic" w:cs="Century Gothic" w:eastAsia="Century Gothic" w:hAnsi="Century Gothic"/>
          <w:sz w:val="24"/>
          <w:szCs w:val="24"/>
          <w:rtl w:val="0"/>
        </w:rPr>
        <w:t xml:space="preserve"> Seu sentido primordial é o de “ruptura” ou “quebra”. Nessa passagem, em particular, é comumente traduzido como “calamidade”, “desgraça” ou “ruína”. No entanto, a tradução “brecha”, escolhida nesta análise, privilegia a imagética da muralha rompida de Jerusalém ( </w:t>
      </w:r>
      <w:r w:rsidDel="00000000" w:rsidR="00000000" w:rsidRPr="00000000">
        <w:rPr>
          <w:rFonts w:ascii="Century Gothic" w:cs="Century Gothic" w:eastAsia="Century Gothic" w:hAnsi="Century Gothic"/>
          <w:sz w:val="24"/>
          <w:szCs w:val="24"/>
          <w:highlight w:val="yellow"/>
          <w:rtl w:val="0"/>
        </w:rPr>
        <w:t xml:space="preserve">já descrita no versículo 8</w:t>
      </w:r>
      <w:r w:rsidDel="00000000" w:rsidR="00000000" w:rsidRPr="00000000">
        <w:rPr>
          <w:rFonts w:ascii="Century Gothic" w:cs="Century Gothic" w:eastAsia="Century Gothic" w:hAnsi="Century Gothic"/>
          <w:sz w:val="24"/>
          <w:szCs w:val="24"/>
          <w:rtl w:val="0"/>
        </w:rPr>
        <w:t xml:space="preserve">) hiperbolizada pelo poeta, que equipara a sua profundidade e a sua amplidão à do mar, uma ferida aberta com tal violência que permanece esgarçada, de modo que suas bordas não podem ser reunidas, como os limites do mar. O elemento líquido sugere o sangue que escorre, construindo a imagem da virgem violentada, cuja ferida aberta desconhece a cura.</w:t>
      </w:r>
    </w:p>
    <w:p w:rsidR="00000000" w:rsidDel="00000000" w:rsidP="00000000" w:rsidRDefault="00000000" w:rsidRPr="00000000" w14:paraId="00000057">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Apesar da ocorrência em paralelo, há uma evidente predileção, na poesia e na profecia, por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em detrimento de </w:t>
      </w:r>
      <w:r w:rsidDel="00000000" w:rsidR="00000000" w:rsidRPr="00000000">
        <w:rPr>
          <w:rFonts w:ascii="Century Gothic" w:cs="Century Gothic" w:eastAsia="Century Gothic" w:hAnsi="Century Gothic"/>
          <w:i w:val="1"/>
          <w:sz w:val="24"/>
          <w:szCs w:val="24"/>
          <w:rtl w:val="0"/>
        </w:rPr>
        <w:t xml:space="preserve">bat yerushalaim</w:t>
      </w:r>
      <w:r w:rsidDel="00000000" w:rsidR="00000000" w:rsidRPr="00000000">
        <w:rPr>
          <w:rFonts w:ascii="Century Gothic" w:cs="Century Gothic" w:eastAsia="Century Gothic" w:hAnsi="Century Gothic"/>
          <w:sz w:val="24"/>
          <w:szCs w:val="24"/>
          <w:rtl w:val="0"/>
        </w:rPr>
        <w:t xml:space="preserve">. A inclinação dos profetas ao uso retórico da primeira expressão teria a ver com o impacto causado na audiência e com o que o uso da palavra “Sião” evocava.</w:t>
      </w:r>
    </w:p>
    <w:p w:rsidR="00000000" w:rsidDel="00000000" w:rsidP="00000000" w:rsidRDefault="00000000" w:rsidRPr="00000000" w14:paraId="00000058">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Antes de enfocar o termo </w:t>
      </w:r>
      <w:r w:rsidDel="00000000" w:rsidR="00000000" w:rsidRPr="00000000">
        <w:rPr>
          <w:rFonts w:ascii="Century Gothic" w:cs="Century Gothic" w:eastAsia="Century Gothic" w:hAnsi="Century Gothic"/>
          <w:i w:val="1"/>
          <w:sz w:val="24"/>
          <w:szCs w:val="24"/>
          <w:rtl w:val="0"/>
        </w:rPr>
        <w:t xml:space="preserve">tsion</w:t>
      </w:r>
      <w:r w:rsidDel="00000000" w:rsidR="00000000" w:rsidRPr="00000000">
        <w:rPr>
          <w:rFonts w:ascii="Century Gothic" w:cs="Century Gothic" w:eastAsia="Century Gothic" w:hAnsi="Century Gothic"/>
          <w:sz w:val="24"/>
          <w:szCs w:val="24"/>
          <w:rtl w:val="0"/>
        </w:rPr>
        <w:t xml:space="preserve">, parece importante destacar que o entendimento da expressão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é diferente quando ela é vista, em hebraico, no plural (</w:t>
      </w:r>
      <w:r w:rsidDel="00000000" w:rsidR="00000000" w:rsidRPr="00000000">
        <w:rPr>
          <w:rFonts w:ascii="Century Gothic" w:cs="Century Gothic" w:eastAsia="Century Gothic" w:hAnsi="Century Gothic"/>
          <w:i w:val="1"/>
          <w:sz w:val="24"/>
          <w:szCs w:val="24"/>
          <w:rtl w:val="0"/>
        </w:rPr>
        <w:t xml:space="preserve">bnot tsion</w:t>
      </w:r>
      <w:r w:rsidDel="00000000" w:rsidR="00000000" w:rsidRPr="00000000">
        <w:rPr>
          <w:rFonts w:ascii="Century Gothic" w:cs="Century Gothic" w:eastAsia="Century Gothic" w:hAnsi="Century Gothic"/>
          <w:sz w:val="24"/>
          <w:szCs w:val="24"/>
          <w:rtl w:val="0"/>
        </w:rPr>
        <w:t xml:space="preserve">, “filhas de Sião”). Nesse caso, ao mencionar “filhas de Sião”, em geral os profetas se referem aos habitantes de Jerusalém, especialmente as mulheres, escolhidas como exemplo emblemático da ausência de modéstia e humildade, virtudes essenciais de todos — homens e mulheres — na visão do profeta:</w:t>
      </w:r>
    </w:p>
    <w:p w:rsidR="00000000" w:rsidDel="00000000" w:rsidP="00000000" w:rsidRDefault="00000000" w:rsidRPr="00000000" w14:paraId="00000059">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Visto que são orgulhosas as filhas de Sião</w:t>
      </w:r>
    </w:p>
    <w:p w:rsidR="00000000" w:rsidDel="00000000" w:rsidP="00000000" w:rsidRDefault="00000000" w:rsidRPr="00000000" w14:paraId="0000005A">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andam de pescoço erguido, </w:t>
      </w:r>
    </w:p>
    <w:p w:rsidR="00000000" w:rsidDel="00000000" w:rsidP="00000000" w:rsidRDefault="00000000" w:rsidRPr="00000000" w14:paraId="0000005B">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 olhar despudorado,</w:t>
      </w:r>
    </w:p>
    <w:p w:rsidR="00000000" w:rsidDel="00000000" w:rsidP="00000000" w:rsidRDefault="00000000" w:rsidRPr="00000000" w14:paraId="0000005C">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dando passos curtos </w:t>
      </w:r>
    </w:p>
    <w:p w:rsidR="00000000" w:rsidDel="00000000" w:rsidP="00000000" w:rsidRDefault="00000000" w:rsidRPr="00000000" w14:paraId="0000005D">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fazendo tinir os enfeites dos tornozelos,</w:t>
      </w:r>
    </w:p>
    <w:p w:rsidR="00000000" w:rsidDel="00000000" w:rsidP="00000000" w:rsidRDefault="00000000" w:rsidRPr="00000000" w14:paraId="0000005E">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 Senhor fará com que apareça sarna </w:t>
      </w:r>
    </w:p>
    <w:p w:rsidR="00000000" w:rsidDel="00000000" w:rsidP="00000000" w:rsidRDefault="00000000" w:rsidRPr="00000000" w14:paraId="0000005F">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 cabeça das filhas de Sião;</w:t>
      </w:r>
    </w:p>
    <w:p w:rsidR="00000000" w:rsidDel="00000000" w:rsidP="00000000" w:rsidRDefault="00000000" w:rsidRPr="00000000" w14:paraId="00000060">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 </w:t>
      </w:r>
      <w:r w:rsidDel="00000000" w:rsidR="00000000" w:rsidRPr="00000000">
        <w:rPr>
          <w:rFonts w:ascii="Century Gothic" w:cs="Century Gothic" w:eastAsia="Century Gothic" w:hAnsi="Century Gothic"/>
          <w:smallCaps w:val="1"/>
          <w:sz w:val="20"/>
          <w:szCs w:val="20"/>
          <w:rtl w:val="0"/>
        </w:rPr>
        <w:t xml:space="preserve">Senhor</w:t>
      </w:r>
      <w:r w:rsidDel="00000000" w:rsidR="00000000" w:rsidRPr="00000000">
        <w:rPr>
          <w:rFonts w:ascii="Century Gothic" w:cs="Century Gothic" w:eastAsia="Century Gothic" w:hAnsi="Century Gothic"/>
          <w:sz w:val="20"/>
          <w:szCs w:val="20"/>
          <w:rtl w:val="0"/>
        </w:rPr>
        <w:t xml:space="preserve"> fará com que se veja a nudez delas.</w:t>
      </w:r>
    </w:p>
    <w:p w:rsidR="00000000" w:rsidDel="00000000" w:rsidP="00000000" w:rsidRDefault="00000000" w:rsidRPr="00000000" w14:paraId="00000061">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(Is 3.16-17)</w:t>
      </w:r>
    </w:p>
    <w:p w:rsidR="00000000" w:rsidDel="00000000" w:rsidP="00000000" w:rsidRDefault="00000000" w:rsidRPr="00000000" w14:paraId="00000062">
      <w:pPr>
        <w:spacing w:after="120" w:line="360" w:lineRule="auto"/>
        <w:ind w:firstLine="709"/>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3">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w:t>
      </w:r>
      <w:r w:rsidDel="00000000" w:rsidR="00000000" w:rsidRPr="00000000">
        <w:rPr>
          <w:rFonts w:ascii="Century Gothic" w:cs="Century Gothic" w:eastAsia="Century Gothic" w:hAnsi="Century Gothic"/>
          <w:b w:val="1"/>
          <w:i w:val="1"/>
          <w:sz w:val="24"/>
          <w:szCs w:val="24"/>
          <w:rtl w:val="0"/>
        </w:rPr>
        <w:t xml:space="preserve">Tsion</w:t>
      </w:r>
      <w:r w:rsidDel="00000000" w:rsidR="00000000" w:rsidRPr="00000000">
        <w:rPr>
          <w:rFonts w:ascii="Century Gothic" w:cs="Century Gothic" w:eastAsia="Century Gothic" w:hAnsi="Century Gothic"/>
          <w:b w:val="1"/>
          <w:sz w:val="24"/>
          <w:szCs w:val="24"/>
          <w:rtl w:val="0"/>
        </w:rPr>
        <w:t xml:space="preserve"> e o discurso poético-profético</w:t>
      </w:r>
    </w:p>
    <w:p w:rsidR="00000000" w:rsidDel="00000000" w:rsidP="00000000" w:rsidRDefault="00000000" w:rsidRPr="00000000" w14:paraId="00000064">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Sião, na Bíblia, é uma expressão única, de significado amplo, que assume diversas aplicações. Pode se referir ao monte, o lugar onde a presença de Deus habita (Mq 3.12; Jl 3.17); à fortaleza tomada por Davi (2Sm 5.7); à cidade de Jerusalém (Sf 3.16); a toda a Judá (Sl 69.35); e até mesmo ao povo de Israel (Zc 2.7). Na literatura profética, de forma metafórica, indica, ainda, um tipo de </w:t>
      </w:r>
      <w:r w:rsidDel="00000000" w:rsidR="00000000" w:rsidRPr="00000000">
        <w:rPr>
          <w:rFonts w:ascii="Century Gothic" w:cs="Century Gothic" w:eastAsia="Century Gothic" w:hAnsi="Century Gothic"/>
          <w:i w:val="1"/>
          <w:sz w:val="24"/>
          <w:szCs w:val="24"/>
          <w:rtl w:val="0"/>
        </w:rPr>
        <w:t xml:space="preserve">locus</w:t>
      </w:r>
      <w:r w:rsidDel="00000000" w:rsidR="00000000" w:rsidRPr="00000000">
        <w:rPr>
          <w:rFonts w:ascii="Century Gothic" w:cs="Century Gothic" w:eastAsia="Century Gothic" w:hAnsi="Century Gothic"/>
          <w:sz w:val="24"/>
          <w:szCs w:val="24"/>
          <w:rtl w:val="0"/>
        </w:rPr>
        <w:t xml:space="preserve"> da ação divina: </w:t>
      </w:r>
    </w:p>
    <w:p w:rsidR="00000000" w:rsidDel="00000000" w:rsidP="00000000" w:rsidRDefault="00000000" w:rsidRPr="00000000" w14:paraId="00000065">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Nos últimos dias,</w:t>
      </w:r>
    </w:p>
    <w:p w:rsidR="00000000" w:rsidDel="00000000" w:rsidP="00000000" w:rsidRDefault="00000000" w:rsidRPr="00000000" w14:paraId="0000006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 monte do templo do </w:t>
      </w:r>
      <w:r w:rsidDel="00000000" w:rsidR="00000000" w:rsidRPr="00000000">
        <w:rPr>
          <w:rFonts w:ascii="Century Gothic" w:cs="Century Gothic" w:eastAsia="Century Gothic" w:hAnsi="Century Gothic"/>
          <w:smallCaps w:val="1"/>
          <w:sz w:val="20"/>
          <w:szCs w:val="20"/>
          <w:rtl w:val="0"/>
        </w:rPr>
        <w:t xml:space="preserve">Senhor</w:t>
      </w:r>
      <w:r w:rsidDel="00000000" w:rsidR="00000000" w:rsidRPr="00000000">
        <w:rPr>
          <w:rtl w:val="0"/>
        </w:rPr>
      </w:r>
    </w:p>
    <w:p w:rsidR="00000000" w:rsidDel="00000000" w:rsidP="00000000" w:rsidRDefault="00000000" w:rsidRPr="00000000" w14:paraId="00000067">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será estabelecido </w:t>
      </w:r>
    </w:p>
    <w:p w:rsidR="00000000" w:rsidDel="00000000" w:rsidP="00000000" w:rsidRDefault="00000000" w:rsidRPr="00000000" w14:paraId="00000068">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alto dos montes</w:t>
      </w:r>
    </w:p>
    <w:p w:rsidR="00000000" w:rsidDel="00000000" w:rsidP="00000000" w:rsidRDefault="00000000" w:rsidRPr="00000000" w14:paraId="00000069">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se elevará sobre as colinas,</w:t>
      </w:r>
    </w:p>
    <w:p w:rsidR="00000000" w:rsidDel="00000000" w:rsidP="00000000" w:rsidRDefault="00000000" w:rsidRPr="00000000" w14:paraId="0000006A">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para ele afluirão todas as nações.</w:t>
      </w:r>
    </w:p>
    <w:p w:rsidR="00000000" w:rsidDel="00000000" w:rsidP="00000000" w:rsidRDefault="00000000" w:rsidRPr="00000000" w14:paraId="0000006B">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Muitos povos virão e dirão:</w:t>
      </w:r>
    </w:p>
    <w:p w:rsidR="00000000" w:rsidDel="00000000" w:rsidP="00000000" w:rsidRDefault="00000000" w:rsidRPr="00000000" w14:paraId="0000006C">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“Venham, subamos </w:t>
      </w:r>
    </w:p>
    <w:p w:rsidR="00000000" w:rsidDel="00000000" w:rsidP="00000000" w:rsidRDefault="00000000" w:rsidRPr="00000000" w14:paraId="0000006D">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ao monte do </w:t>
      </w:r>
      <w:r w:rsidDel="00000000" w:rsidR="00000000" w:rsidRPr="00000000">
        <w:rPr>
          <w:rFonts w:ascii="Century Gothic" w:cs="Century Gothic" w:eastAsia="Century Gothic" w:hAnsi="Century Gothic"/>
          <w:smallCaps w:val="1"/>
          <w:sz w:val="20"/>
          <w:szCs w:val="20"/>
          <w:rtl w:val="0"/>
        </w:rPr>
        <w:t xml:space="preserve">Senhor</w:t>
      </w:r>
      <w:r w:rsidDel="00000000" w:rsidR="00000000" w:rsidRPr="00000000">
        <w:rPr>
          <w:rtl w:val="0"/>
        </w:rPr>
      </w:r>
    </w:p>
    <w:p w:rsidR="00000000" w:rsidDel="00000000" w:rsidP="00000000" w:rsidRDefault="00000000" w:rsidRPr="00000000" w14:paraId="0000006E">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ao templo do Deus de Jacó,</w:t>
      </w:r>
    </w:p>
    <w:p w:rsidR="00000000" w:rsidDel="00000000" w:rsidP="00000000" w:rsidRDefault="00000000" w:rsidRPr="00000000" w14:paraId="0000006F">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que nos ensine </w:t>
      </w:r>
    </w:p>
    <w:p w:rsidR="00000000" w:rsidDel="00000000" w:rsidP="00000000" w:rsidRDefault="00000000" w:rsidRPr="00000000" w14:paraId="00000070">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os seus caminhos,</w:t>
      </w:r>
    </w:p>
    <w:p w:rsidR="00000000" w:rsidDel="00000000" w:rsidP="00000000" w:rsidRDefault="00000000" w:rsidRPr="00000000" w14:paraId="00000071">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andemos nas suas veredas.”</w:t>
      </w:r>
    </w:p>
    <w:p w:rsidR="00000000" w:rsidDel="00000000" w:rsidP="00000000" w:rsidRDefault="00000000" w:rsidRPr="00000000" w14:paraId="00000072">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Porque de Sião sairá a lei,</w:t>
      </w:r>
    </w:p>
    <w:p w:rsidR="00000000" w:rsidDel="00000000" w:rsidP="00000000" w:rsidRDefault="00000000" w:rsidRPr="00000000" w14:paraId="00000073">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a palavra do </w:t>
      </w:r>
      <w:r w:rsidDel="00000000" w:rsidR="00000000" w:rsidRPr="00000000">
        <w:rPr>
          <w:rFonts w:ascii="Century Gothic" w:cs="Century Gothic" w:eastAsia="Century Gothic" w:hAnsi="Century Gothic"/>
          <w:smallCaps w:val="1"/>
          <w:sz w:val="20"/>
          <w:szCs w:val="20"/>
          <w:rtl w:val="0"/>
        </w:rPr>
        <w:t xml:space="preserve">Senhor</w:t>
      </w:r>
      <w:r w:rsidDel="00000000" w:rsidR="00000000" w:rsidRPr="00000000">
        <w:rPr>
          <w:rFonts w:ascii="Century Gothic" w:cs="Century Gothic" w:eastAsia="Century Gothic" w:hAnsi="Century Gothic"/>
          <w:sz w:val="20"/>
          <w:szCs w:val="20"/>
          <w:rtl w:val="0"/>
        </w:rPr>
        <w:t xml:space="preserve">, de Jerusalém.</w:t>
      </w:r>
    </w:p>
    <w:p w:rsidR="00000000" w:rsidDel="00000000" w:rsidP="00000000" w:rsidRDefault="00000000" w:rsidRPr="00000000" w14:paraId="00000074">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Ele julgará entre as nações</w:t>
      </w:r>
    </w:p>
    <w:p w:rsidR="00000000" w:rsidDel="00000000" w:rsidP="00000000" w:rsidRDefault="00000000" w:rsidRPr="00000000" w14:paraId="00000075">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corrigirá muitos povos.</w:t>
      </w:r>
    </w:p>
    <w:p w:rsidR="00000000" w:rsidDel="00000000" w:rsidP="00000000" w:rsidRDefault="00000000" w:rsidRPr="00000000" w14:paraId="0000007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Estes transformarão as suas espadas</w:t>
      </w:r>
    </w:p>
    <w:p w:rsidR="00000000" w:rsidDel="00000000" w:rsidP="00000000" w:rsidRDefault="00000000" w:rsidRPr="00000000" w14:paraId="00000077">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 lâminas de arados</w:t>
      </w:r>
    </w:p>
    <w:p w:rsidR="00000000" w:rsidDel="00000000" w:rsidP="00000000" w:rsidRDefault="00000000" w:rsidRPr="00000000" w14:paraId="00000078">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as suas lanças, em foices.</w:t>
      </w:r>
    </w:p>
    <w:p w:rsidR="00000000" w:rsidDel="00000000" w:rsidP="00000000" w:rsidRDefault="00000000" w:rsidRPr="00000000" w14:paraId="00000079">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Nação não levantará a espada </w:t>
      </w:r>
    </w:p>
    <w:p w:rsidR="00000000" w:rsidDel="00000000" w:rsidP="00000000" w:rsidRDefault="00000000" w:rsidRPr="00000000" w14:paraId="0000007A">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contra nação,</w:t>
      </w:r>
    </w:p>
    <w:p w:rsidR="00000000" w:rsidDel="00000000" w:rsidP="00000000" w:rsidRDefault="00000000" w:rsidRPr="00000000" w14:paraId="0000007B">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nem aprenderão mais a guerra.</w:t>
      </w:r>
    </w:p>
    <w:p w:rsidR="00000000" w:rsidDel="00000000" w:rsidP="00000000" w:rsidRDefault="00000000" w:rsidRPr="00000000" w14:paraId="0000007C">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(Is 2.2-4)</w:t>
      </w:r>
      <w:r w:rsidDel="00000000" w:rsidR="00000000" w:rsidRPr="00000000">
        <w:rPr>
          <w:rFonts w:ascii="Century Gothic" w:cs="Century Gothic" w:eastAsia="Century Gothic" w:hAnsi="Century Gothic"/>
          <w:sz w:val="20"/>
          <w:szCs w:val="20"/>
          <w:vertAlign w:val="superscript"/>
        </w:rPr>
        <w:footnoteReference w:customMarkFollows="0" w:id="13"/>
      </w:r>
      <w:r w:rsidDel="00000000" w:rsidR="00000000" w:rsidRPr="00000000">
        <w:rPr>
          <w:rtl w:val="0"/>
        </w:rPr>
      </w:r>
    </w:p>
    <w:p w:rsidR="00000000" w:rsidDel="00000000" w:rsidP="00000000" w:rsidRDefault="00000000" w:rsidRPr="00000000" w14:paraId="0000007D">
      <w:pPr>
        <w:spacing w:after="120" w:line="360" w:lineRule="auto"/>
        <w:ind w:firstLine="709"/>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E">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Como topônimo, o termo </w:t>
      </w:r>
      <w:r w:rsidDel="00000000" w:rsidR="00000000" w:rsidRPr="00000000">
        <w:rPr>
          <w:rFonts w:ascii="Century Gothic" w:cs="Century Gothic" w:eastAsia="Century Gothic" w:hAnsi="Century Gothic"/>
          <w:i w:val="1"/>
          <w:sz w:val="24"/>
          <w:szCs w:val="24"/>
          <w:rtl w:val="0"/>
        </w:rPr>
        <w:t xml:space="preserve">tsion</w:t>
      </w:r>
      <w:r w:rsidDel="00000000" w:rsidR="00000000" w:rsidRPr="00000000">
        <w:rPr>
          <w:rFonts w:ascii="Century Gothic" w:cs="Century Gothic" w:eastAsia="Century Gothic" w:hAnsi="Century Gothic"/>
          <w:sz w:val="24"/>
          <w:szCs w:val="24"/>
          <w:rtl w:val="0"/>
        </w:rPr>
        <w:t xml:space="preserve"> figura pela primeira vez no texto de 2Samuel 5.6-10, em que Davi conquista a fortaleza de Sião das mãos do povo de Jebus</w:t>
      </w:r>
      <w:r w:rsidDel="00000000" w:rsidR="00000000" w:rsidRPr="00000000">
        <w:rPr>
          <w:rFonts w:ascii="Century Gothic" w:cs="Century Gothic" w:eastAsia="Century Gothic" w:hAnsi="Century Gothic"/>
          <w:sz w:val="24"/>
          <w:szCs w:val="24"/>
          <w:vertAlign w:val="superscript"/>
        </w:rPr>
        <w:footnoteReference w:customMarkFollows="0" w:id="14"/>
      </w:r>
      <w:r w:rsidDel="00000000" w:rsidR="00000000" w:rsidRPr="00000000">
        <w:rPr>
          <w:rFonts w:ascii="Century Gothic" w:cs="Century Gothic" w:eastAsia="Century Gothic" w:hAnsi="Century Gothic"/>
          <w:sz w:val="24"/>
          <w:szCs w:val="24"/>
          <w:rtl w:val="0"/>
        </w:rPr>
        <w:t xml:space="preserve">. O emprego de </w:t>
      </w:r>
      <w:r w:rsidDel="00000000" w:rsidR="00000000" w:rsidRPr="00000000">
        <w:rPr>
          <w:rFonts w:ascii="Century Gothic" w:cs="Century Gothic" w:eastAsia="Century Gothic" w:hAnsi="Century Gothic"/>
          <w:i w:val="1"/>
          <w:sz w:val="24"/>
          <w:szCs w:val="24"/>
          <w:rtl w:val="0"/>
        </w:rPr>
        <w:t xml:space="preserve">tsion</w:t>
      </w:r>
      <w:r w:rsidDel="00000000" w:rsidR="00000000" w:rsidRPr="00000000">
        <w:rPr>
          <w:rFonts w:ascii="Century Gothic" w:cs="Century Gothic" w:eastAsia="Century Gothic" w:hAnsi="Century Gothic"/>
          <w:sz w:val="24"/>
          <w:szCs w:val="24"/>
          <w:rtl w:val="0"/>
        </w:rPr>
        <w:t xml:space="preserve">, no entanto, se difunde na poesia, figurando 154 vezes na Bíblia Hebraica. Embora a expressão esteja, de fato, associada a Jerusalém, nos textos poéticos, há aspectos a que ela remete que vão além da simples referência ao nome da cidade. </w:t>
      </w:r>
    </w:p>
    <w:p w:rsidR="00000000" w:rsidDel="00000000" w:rsidP="00000000" w:rsidRDefault="00000000" w:rsidRPr="00000000" w14:paraId="0000007F">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 geral, por sua associação com Davi, </w:t>
      </w:r>
      <w:r w:rsidDel="00000000" w:rsidR="00000000" w:rsidRPr="00000000">
        <w:rPr>
          <w:rFonts w:ascii="Century Gothic" w:cs="Century Gothic" w:eastAsia="Century Gothic" w:hAnsi="Century Gothic"/>
          <w:i w:val="1"/>
          <w:sz w:val="24"/>
          <w:szCs w:val="24"/>
          <w:rtl w:val="0"/>
        </w:rPr>
        <w:t xml:space="preserve">tsion </w:t>
      </w:r>
      <w:r w:rsidDel="00000000" w:rsidR="00000000" w:rsidRPr="00000000">
        <w:rPr>
          <w:rFonts w:ascii="Century Gothic" w:cs="Century Gothic" w:eastAsia="Century Gothic" w:hAnsi="Century Gothic"/>
          <w:sz w:val="24"/>
          <w:szCs w:val="24"/>
          <w:rtl w:val="0"/>
        </w:rPr>
        <w:t xml:space="preserve">remete ao governo ideal de Israel, a um passado glorioso e ao reinado futuro e perfeito de Deus (KARTVEIT, 2001, p. 1). Diante de seus muitos sentidos, não por acaso, se tornou uma expressão fundamental nos textos poéticos da Bíblia Hebraica</w:t>
      </w:r>
      <w:r w:rsidDel="00000000" w:rsidR="00000000" w:rsidRPr="00000000">
        <w:rPr>
          <w:rFonts w:ascii="Century Gothic" w:cs="Century Gothic" w:eastAsia="Century Gothic" w:hAnsi="Century Gothic"/>
          <w:sz w:val="24"/>
          <w:szCs w:val="24"/>
          <w:vertAlign w:val="superscript"/>
        </w:rPr>
        <w:footnoteReference w:customMarkFollows="0" w:id="15"/>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80">
      <w:pPr>
        <w:spacing w:after="0" w:line="360" w:lineRule="auto"/>
        <w:jc w:val="both"/>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081">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w:t>
      </w:r>
      <w:r w:rsidDel="00000000" w:rsidR="00000000" w:rsidRPr="00000000">
        <w:rPr>
          <w:rFonts w:ascii="Century Gothic" w:cs="Century Gothic" w:eastAsia="Century Gothic" w:hAnsi="Century Gothic"/>
          <w:b w:val="1"/>
          <w:i w:val="1"/>
          <w:sz w:val="24"/>
          <w:szCs w:val="24"/>
          <w:rtl w:val="0"/>
        </w:rPr>
        <w:t xml:space="preserve">Bat tsion</w:t>
      </w:r>
      <w:r w:rsidDel="00000000" w:rsidR="00000000" w:rsidRPr="00000000">
        <w:rPr>
          <w:rFonts w:ascii="Century Gothic" w:cs="Century Gothic" w:eastAsia="Century Gothic" w:hAnsi="Century Gothic"/>
          <w:b w:val="1"/>
          <w:sz w:val="24"/>
          <w:szCs w:val="24"/>
          <w:rtl w:val="0"/>
        </w:rPr>
        <w:t xml:space="preserve"> e o Templo </w:t>
      </w:r>
    </w:p>
    <w:p w:rsidR="00000000" w:rsidDel="00000000" w:rsidP="00000000" w:rsidRDefault="00000000" w:rsidRPr="00000000" w14:paraId="00000082">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Como visto, além de Jerusalém, que é a cidade, a capital, “Sião” também se refere, em certos contextos, ao monte, à colina. Por extensão, parece haver referência ao próprio templo:</w:t>
      </w:r>
    </w:p>
    <w:p w:rsidR="00000000" w:rsidDel="00000000" w:rsidP="00000000" w:rsidRDefault="00000000" w:rsidRPr="00000000" w14:paraId="00000083">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Como o Senhor, na sua ira,</w:t>
      </w:r>
    </w:p>
    <w:p w:rsidR="00000000" w:rsidDel="00000000" w:rsidP="00000000" w:rsidRDefault="00000000" w:rsidRPr="00000000" w14:paraId="00000084">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cobriu de nuvens </w:t>
      </w:r>
    </w:p>
    <w:p w:rsidR="00000000" w:rsidDel="00000000" w:rsidP="00000000" w:rsidRDefault="00000000" w:rsidRPr="00000000" w14:paraId="00000085">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filha de Sião!</w:t>
      </w:r>
    </w:p>
    <w:p w:rsidR="00000000" w:rsidDel="00000000" w:rsidP="00000000" w:rsidRDefault="00000000" w:rsidRPr="00000000" w14:paraId="0000008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Precipitou do céu à terra </w:t>
      </w:r>
    </w:p>
    <w:p w:rsidR="00000000" w:rsidDel="00000000" w:rsidP="00000000" w:rsidRDefault="00000000" w:rsidRPr="00000000" w14:paraId="00000087">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glória de Israel</w:t>
      </w:r>
    </w:p>
    <w:p w:rsidR="00000000" w:rsidDel="00000000" w:rsidP="00000000" w:rsidRDefault="00000000" w:rsidRPr="00000000" w14:paraId="00000088">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no dia da sua ira,</w:t>
      </w:r>
    </w:p>
    <w:p w:rsidR="00000000" w:rsidDel="00000000" w:rsidP="00000000" w:rsidRDefault="00000000" w:rsidRPr="00000000" w14:paraId="00000089">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não se lembrou </w:t>
      </w:r>
    </w:p>
    <w:p w:rsidR="00000000" w:rsidDel="00000000" w:rsidP="00000000" w:rsidRDefault="00000000" w:rsidRPr="00000000" w14:paraId="0000008A">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do estrado de seus pés. </w:t>
      </w:r>
    </w:p>
    <w:p w:rsidR="00000000" w:rsidDel="00000000" w:rsidP="00000000" w:rsidRDefault="00000000" w:rsidRPr="00000000" w14:paraId="0000008B">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(Lm 2.1)</w:t>
      </w:r>
    </w:p>
    <w:p w:rsidR="00000000" w:rsidDel="00000000" w:rsidP="00000000" w:rsidRDefault="00000000" w:rsidRPr="00000000" w14:paraId="0000008C">
      <w:pPr>
        <w:spacing w:after="0" w:line="240" w:lineRule="auto"/>
        <w:ind w:left="2268"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D">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Nessa passagem, “filha de Sião”, “glória de Israel” e “estrado dos seus pés” estão em paralelo. O significado de “estrado dos pés do Senhor” é mais claro em 1Crônicas 28.2-3, em que se lê: </w:t>
      </w:r>
    </w:p>
    <w:p w:rsidR="00000000" w:rsidDel="00000000" w:rsidP="00000000" w:rsidRDefault="00000000" w:rsidRPr="00000000" w14:paraId="0000008E">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 rei Davi se pôs em pé e disse:</w:t>
      </w:r>
    </w:p>
    <w:p w:rsidR="00000000" w:rsidDel="00000000" w:rsidP="00000000" w:rsidRDefault="00000000" w:rsidRPr="00000000" w14:paraId="0000008F">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Meus irmãos e meu povo, escutem! Eu tive a intenção de edificar um templo onde pudesse repousar a arca da aliança do </w:t>
      </w:r>
      <w:r w:rsidDel="00000000" w:rsidR="00000000" w:rsidRPr="00000000">
        <w:rPr>
          <w:rFonts w:ascii="Century Gothic" w:cs="Century Gothic" w:eastAsia="Century Gothic" w:hAnsi="Century Gothic"/>
          <w:smallCaps w:val="1"/>
          <w:sz w:val="20"/>
          <w:szCs w:val="20"/>
          <w:rtl w:val="0"/>
        </w:rPr>
        <w:t xml:space="preserve">Senhor</w:t>
      </w:r>
      <w:r w:rsidDel="00000000" w:rsidR="00000000" w:rsidRPr="00000000">
        <w:rPr>
          <w:rFonts w:ascii="Century Gothic" w:cs="Century Gothic" w:eastAsia="Century Gothic" w:hAnsi="Century Gothic"/>
          <w:sz w:val="20"/>
          <w:szCs w:val="20"/>
          <w:rtl w:val="0"/>
        </w:rPr>
        <w:t xml:space="preserve"> e para que fosse </w:t>
      </w:r>
      <w:r w:rsidDel="00000000" w:rsidR="00000000" w:rsidRPr="00000000">
        <w:rPr>
          <w:rFonts w:ascii="Century Gothic" w:cs="Century Gothic" w:eastAsia="Century Gothic" w:hAnsi="Century Gothic"/>
          <w:b w:val="1"/>
          <w:sz w:val="20"/>
          <w:szCs w:val="20"/>
          <w:rtl w:val="0"/>
        </w:rPr>
        <w:t xml:space="preserve">o estrado dos pés do nosso Deus.</w:t>
      </w:r>
      <w:r w:rsidDel="00000000" w:rsidR="00000000" w:rsidRPr="00000000">
        <w:rPr>
          <w:rFonts w:ascii="Century Gothic" w:cs="Century Gothic" w:eastAsia="Century Gothic" w:hAnsi="Century Gothic"/>
          <w:sz w:val="20"/>
          <w:szCs w:val="20"/>
          <w:rtl w:val="0"/>
        </w:rPr>
        <w:t xml:space="preserve"> Eu havia feito preparativos para essa construção. Porém Deus me disse: “Você não edificará um templo ao meu nome, porque é homem de guerra e derramou muito sangue.”</w:t>
      </w:r>
    </w:p>
    <w:p w:rsidR="00000000" w:rsidDel="00000000" w:rsidP="00000000" w:rsidRDefault="00000000" w:rsidRPr="00000000" w14:paraId="00000090">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(Grifo nosso)</w:t>
      </w:r>
    </w:p>
    <w:p w:rsidR="00000000" w:rsidDel="00000000" w:rsidP="00000000" w:rsidRDefault="00000000" w:rsidRPr="00000000" w14:paraId="00000091">
      <w:pPr>
        <w:spacing w:after="288"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2">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 Salmo 132.7-9, o salmista escreve: </w:t>
      </w:r>
    </w:p>
    <w:p w:rsidR="00000000" w:rsidDel="00000000" w:rsidP="00000000" w:rsidRDefault="00000000" w:rsidRPr="00000000" w14:paraId="00000093">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Entremos na sua morada,</w:t>
      </w:r>
    </w:p>
    <w:p w:rsidR="00000000" w:rsidDel="00000000" w:rsidP="00000000" w:rsidRDefault="00000000" w:rsidRPr="00000000" w14:paraId="00000094">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adoremos diante do estrado de seus pés.</w:t>
      </w:r>
    </w:p>
    <w:p w:rsidR="00000000" w:rsidDel="00000000" w:rsidP="00000000" w:rsidRDefault="00000000" w:rsidRPr="00000000" w14:paraId="00000095">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Century Gothic" w:cs="Century Gothic" w:eastAsia="Century Gothic" w:hAnsi="Century Gothic"/>
          <w:sz w:val="20"/>
          <w:szCs w:val="20"/>
          <w:rtl w:val="0"/>
        </w:rPr>
        <w:t xml:space="preserve">Levanta-te, </w:t>
      </w:r>
      <w:r w:rsidDel="00000000" w:rsidR="00000000" w:rsidRPr="00000000">
        <w:rPr>
          <w:rFonts w:ascii="Century Gothic" w:cs="Century Gothic" w:eastAsia="Century Gothic" w:hAnsi="Century Gothic"/>
          <w:smallCaps w:val="1"/>
          <w:sz w:val="20"/>
          <w:szCs w:val="20"/>
          <w:rtl w:val="0"/>
        </w:rPr>
        <w:t xml:space="preserve">Senhor</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9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entra no lugar do teu repouso,</w:t>
      </w:r>
    </w:p>
    <w:p w:rsidR="00000000" w:rsidDel="00000000" w:rsidP="00000000" w:rsidRDefault="00000000" w:rsidRPr="00000000" w14:paraId="00000097">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tu e a arca do teu poder.</w:t>
      </w:r>
    </w:p>
    <w:p w:rsidR="00000000" w:rsidDel="00000000" w:rsidP="00000000" w:rsidRDefault="00000000" w:rsidRPr="00000000" w14:paraId="00000098">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Vistam-se de justiça os teus sacerdotes,</w:t>
      </w:r>
    </w:p>
    <w:p w:rsidR="00000000" w:rsidDel="00000000" w:rsidP="00000000" w:rsidRDefault="00000000" w:rsidRPr="00000000" w14:paraId="00000099">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exultem os teus fiéis.</w:t>
      </w:r>
    </w:p>
    <w:p w:rsidR="00000000" w:rsidDel="00000000" w:rsidP="00000000" w:rsidRDefault="00000000" w:rsidRPr="00000000" w14:paraId="0000009A">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C">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estrado dos pés de Deus, aqui, é o templo, que em Lamentações compõe o paralelismo com a expressão “filha de Sião”. A associação entre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e o Templo não é comum em outras passagens da Bíblia Hebraica, o que corrobora a imagem multifacetada advinda dessa expressão. Há, assim, um alinhamento à tradição mesopotâmica — a associação da figura feminina ao templo no gênero lamentação. Uma vez que o livro das Lamentações de Jeremias foi composto no exílio, talvez isso indique que os profetas, escrevendo em um Israel pré-exílico, se desviaram propositadamente do mito babilônio, enquanto o autor de Lamentações incorpora a tradição do lamento da deusa.</w:t>
      </w:r>
    </w:p>
    <w:p w:rsidR="00000000" w:rsidDel="00000000" w:rsidP="00000000" w:rsidRDefault="00000000" w:rsidRPr="00000000" w14:paraId="0000009D">
      <w:pPr>
        <w:spacing w:after="0" w:line="360"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E">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w:t>
      </w:r>
      <w:r w:rsidDel="00000000" w:rsidR="00000000" w:rsidRPr="00000000">
        <w:rPr>
          <w:rFonts w:ascii="Century Gothic" w:cs="Century Gothic" w:eastAsia="Century Gothic" w:hAnsi="Century Gothic"/>
          <w:b w:val="1"/>
          <w:i w:val="1"/>
          <w:sz w:val="24"/>
          <w:szCs w:val="24"/>
          <w:rtl w:val="0"/>
        </w:rPr>
        <w:t xml:space="preserve">Bat tsion</w:t>
      </w:r>
      <w:r w:rsidDel="00000000" w:rsidR="00000000" w:rsidRPr="00000000">
        <w:rPr>
          <w:rFonts w:ascii="Century Gothic" w:cs="Century Gothic" w:eastAsia="Century Gothic" w:hAnsi="Century Gothic"/>
          <w:b w:val="1"/>
          <w:sz w:val="24"/>
          <w:szCs w:val="24"/>
          <w:rtl w:val="0"/>
        </w:rPr>
        <w:t xml:space="preserve"> e a violação da virgem</w:t>
      </w:r>
    </w:p>
    <w:p w:rsidR="00000000" w:rsidDel="00000000" w:rsidP="00000000" w:rsidRDefault="00000000" w:rsidRPr="00000000" w14:paraId="0000009F">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profanação que fazem os inimigos estrangeiros também ganha nos textos contornos ligados à esfera religiosa e cultual:</w:t>
      </w:r>
    </w:p>
    <w:p w:rsidR="00000000" w:rsidDel="00000000" w:rsidP="00000000" w:rsidRDefault="00000000" w:rsidRPr="00000000" w14:paraId="000000A0">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Acorde! Acorde, ó Sião,</w:t>
      </w:r>
    </w:p>
    <w:p w:rsidR="00000000" w:rsidDel="00000000" w:rsidP="00000000" w:rsidRDefault="00000000" w:rsidRPr="00000000" w14:paraId="000000A1">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revista-se de força!</w:t>
      </w:r>
    </w:p>
    <w:p w:rsidR="00000000" w:rsidDel="00000000" w:rsidP="00000000" w:rsidRDefault="00000000" w:rsidRPr="00000000" w14:paraId="000000A2">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Vista as suas roupas finas,</w:t>
      </w:r>
    </w:p>
    <w:p w:rsidR="00000000" w:rsidDel="00000000" w:rsidP="00000000" w:rsidRDefault="00000000" w:rsidRPr="00000000" w14:paraId="000000A3">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ó Jerusalém, cidade santa,</w:t>
      </w:r>
    </w:p>
    <w:p w:rsidR="00000000" w:rsidDel="00000000" w:rsidP="00000000" w:rsidRDefault="00000000" w:rsidRPr="00000000" w14:paraId="000000A4">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porque os incircuncisos e imundos</w:t>
      </w:r>
    </w:p>
    <w:p w:rsidR="00000000" w:rsidDel="00000000" w:rsidP="00000000" w:rsidRDefault="00000000" w:rsidRPr="00000000" w14:paraId="000000A5">
      <w:pPr>
        <w:spacing w:after="0" w:line="240" w:lineRule="auto"/>
        <w:ind w:left="226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nunca mais </w:t>
      </w:r>
      <w:r w:rsidDel="00000000" w:rsidR="00000000" w:rsidRPr="00000000">
        <w:rPr>
          <w:rFonts w:ascii="Century Gothic" w:cs="Century Gothic" w:eastAsia="Century Gothic" w:hAnsi="Century Gothic"/>
          <w:b w:val="1"/>
          <w:sz w:val="20"/>
          <w:szCs w:val="20"/>
          <w:rtl w:val="0"/>
        </w:rPr>
        <w:t xml:space="preserve">entrarão</w:t>
      </w:r>
      <w:r w:rsidDel="00000000" w:rsidR="00000000" w:rsidRPr="00000000">
        <w:rPr>
          <w:rFonts w:ascii="Century Gothic" w:cs="Century Gothic" w:eastAsia="Century Gothic" w:hAnsi="Century Gothic"/>
          <w:sz w:val="20"/>
          <w:szCs w:val="20"/>
          <w:rtl w:val="0"/>
        </w:rPr>
        <w:t xml:space="preserve"> em você.</w:t>
      </w:r>
      <w:r w:rsidDel="00000000" w:rsidR="00000000" w:rsidRPr="00000000">
        <w:rPr>
          <w:rFonts w:ascii="Century Gothic" w:cs="Century Gothic" w:eastAsia="Century Gothic" w:hAnsi="Century Gothic"/>
          <w:b w:val="1"/>
          <w:sz w:val="20"/>
          <w:szCs w:val="20"/>
          <w:rtl w:val="0"/>
        </w:rPr>
        <w:t xml:space="preserve"> </w:t>
      </w:r>
    </w:p>
    <w:p w:rsidR="00000000" w:rsidDel="00000000" w:rsidP="00000000" w:rsidRDefault="00000000" w:rsidRPr="00000000" w14:paraId="000000A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(Is 52.1, grifo nosso)</w:t>
      </w:r>
    </w:p>
    <w:p w:rsidR="00000000" w:rsidDel="00000000" w:rsidP="00000000" w:rsidRDefault="00000000" w:rsidRPr="00000000" w14:paraId="000000A7">
      <w:pPr>
        <w:spacing w:after="0" w:line="240" w:lineRule="auto"/>
        <w:ind w:left="2268"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8">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 caráter sexual da invasão é patente quando os profetas descrevem Sião ou Jerusalém como “penetrada”; também o aspecto religioso dessa penetração está evidenciado na caracterização da cidade como “santa”, i.e., consagrada a Deus; uma vez penetrada por incircuncisos e impuros, a cidade é profanada. </w:t>
      </w:r>
    </w:p>
    <w:p w:rsidR="00000000" w:rsidDel="00000000" w:rsidP="00000000" w:rsidRDefault="00000000" w:rsidRPr="00000000" w14:paraId="000000A9">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Quer se trate da cidade de Jerusalém, de todo o Israel ou do templo, a menção à filha traz consigo sentidos importantes, que dão a tônica aos discursos proféticos, imprimindo-lhes uma forte carga emocional. </w:t>
      </w:r>
    </w:p>
    <w:p w:rsidR="00000000" w:rsidDel="00000000" w:rsidP="00000000" w:rsidRDefault="00000000" w:rsidRPr="00000000" w14:paraId="000000AA">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jovem é uma mulher desejada. Sua sexualidade está sempre em foco nas histórias em que ela figura. E cabe aos pais a defesa e a preservação de sua virgindade, como bem se observa em Deuteronômio 22.13-19:</w:t>
      </w:r>
    </w:p>
    <w:p w:rsidR="00000000" w:rsidDel="00000000" w:rsidP="00000000" w:rsidRDefault="00000000" w:rsidRPr="00000000" w14:paraId="000000AB">
      <w:pPr>
        <w:spacing w:after="0" w:line="240" w:lineRule="auto"/>
        <w:ind w:left="2268"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Se um homem casar com uma mulher, e, depois de ter tido relações com ela, passar a odiá-la, e lhe atribuir atos vergonhosos, e a difamar, dizendo: “Casei com esta mulher e, quando tive relações com ela, descobri que não era virgem”, então o pai e a mãe da moça levarão as provas da virgindade da moça aos anciãos da cidade, junto ao portão. O pai da moça dirá aos anciãos: “Dei minha filha por mulher a este homem, porém ele passou a odiá-la. Eis que lhe atribuiu atos vergonhosos, dizendo: ‘Descobri que a sua filha não era virgem.’ Mas aqui estão as provas da virgindade de minha filha.” E estenderão a roupa dela diante dos anciãos da cidade, os quais pegarão o homem, o açoitarão e o condenarão a pagar cem barras de prata ao pai da moça, porque difamou uma virgem de Israel. Ela ficará sendo mulher dele, e ele não poderá mandá-la embora durante a sua vida.</w:t>
      </w:r>
      <w:r w:rsidDel="00000000" w:rsidR="00000000" w:rsidRPr="00000000">
        <w:rPr>
          <w:rFonts w:ascii="Century Gothic" w:cs="Century Gothic" w:eastAsia="Century Gothic" w:hAnsi="Century Gothic"/>
          <w:b w:val="1"/>
          <w:sz w:val="20"/>
          <w:szCs w:val="20"/>
          <w:rtl w:val="0"/>
        </w:rPr>
        <w:t xml:space="preserve"> </w:t>
      </w:r>
    </w:p>
    <w:p w:rsidR="00000000" w:rsidDel="00000000" w:rsidP="00000000" w:rsidRDefault="00000000" w:rsidRPr="00000000" w14:paraId="000000AC">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D">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profeta Miqueias, em um oráculo de destruição, descreve um estupro coletivo, acrescentando um traço de depravação sexual à caracterização do inimigo:</w:t>
      </w:r>
    </w:p>
    <w:p w:rsidR="00000000" w:rsidDel="00000000" w:rsidP="00000000" w:rsidRDefault="00000000" w:rsidRPr="00000000" w14:paraId="000000AE">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Agora muitas nações </w:t>
      </w:r>
    </w:p>
    <w:p w:rsidR="00000000" w:rsidDel="00000000" w:rsidP="00000000" w:rsidRDefault="00000000" w:rsidRPr="00000000" w14:paraId="000000AF">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reuniram</w:t>
      </w:r>
    </w:p>
    <w:p w:rsidR="00000000" w:rsidDel="00000000" w:rsidP="00000000" w:rsidRDefault="00000000" w:rsidRPr="00000000" w14:paraId="000000B0">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sobre ti </w:t>
      </w:r>
    </w:p>
    <w:p w:rsidR="00000000" w:rsidDel="00000000" w:rsidP="00000000" w:rsidRDefault="00000000" w:rsidRPr="00000000" w14:paraId="000000B1">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dizendo que seja profanada</w:t>
      </w:r>
    </w:p>
    <w:p w:rsidR="00000000" w:rsidDel="00000000" w:rsidP="00000000" w:rsidRDefault="00000000" w:rsidRPr="00000000" w14:paraId="000000B2">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que se regozije</w:t>
      </w:r>
    </w:p>
    <w:p w:rsidR="00000000" w:rsidDel="00000000" w:rsidP="00000000" w:rsidRDefault="00000000" w:rsidRPr="00000000" w14:paraId="000000B3">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 Sião</w:t>
      </w:r>
    </w:p>
    <w:p w:rsidR="00000000" w:rsidDel="00000000" w:rsidP="00000000" w:rsidRDefault="00000000" w:rsidRPr="00000000" w14:paraId="000000B4">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nosso olhar </w:t>
      </w:r>
    </w:p>
    <w:p w:rsidR="00000000" w:rsidDel="00000000" w:rsidP="00000000" w:rsidRDefault="00000000" w:rsidRPr="00000000" w14:paraId="000000B5">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Mas não conhecem os pensamentos de YHWH</w:t>
      </w:r>
    </w:p>
    <w:p w:rsidR="00000000" w:rsidDel="00000000" w:rsidP="00000000" w:rsidRDefault="00000000" w:rsidRPr="00000000" w14:paraId="000000B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não entendem seu intento</w:t>
      </w:r>
    </w:p>
    <w:p w:rsidR="00000000" w:rsidDel="00000000" w:rsidP="00000000" w:rsidRDefault="00000000" w:rsidRPr="00000000" w14:paraId="000000B7">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porque os ajuntou</w:t>
      </w:r>
    </w:p>
    <w:p w:rsidR="00000000" w:rsidDel="00000000" w:rsidP="00000000" w:rsidRDefault="00000000" w:rsidRPr="00000000" w14:paraId="000000B8">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como feixes</w:t>
      </w:r>
    </w:p>
    <w:p w:rsidR="00000000" w:rsidDel="00000000" w:rsidP="00000000" w:rsidRDefault="00000000" w:rsidRPr="00000000" w14:paraId="000000B9">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 eira. </w:t>
      </w:r>
    </w:p>
    <w:p w:rsidR="00000000" w:rsidDel="00000000" w:rsidP="00000000" w:rsidRDefault="00000000" w:rsidRPr="00000000" w14:paraId="000000BA">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(Mq 4.11-12, tradução nossa)</w:t>
      </w:r>
    </w:p>
    <w:p w:rsidR="00000000" w:rsidDel="00000000" w:rsidP="00000000" w:rsidRDefault="00000000" w:rsidRPr="00000000" w14:paraId="000000BB">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C">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D">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Nessa passagem, a violência contra a filha-cidade-templo é intensificada pela vívida descrição do prazer perverso e sádico que as nações invasoras demonstram ao incitar o estupro coletivo e deleitar-se com a cena, na qualidade de perpetradores e observadores. </w:t>
      </w:r>
    </w:p>
    <w:p w:rsidR="00000000" w:rsidDel="00000000" w:rsidP="00000000" w:rsidRDefault="00000000" w:rsidRPr="00000000" w14:paraId="000000BE">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Miqueias, porém, introduz a imagem de feixes a serem batidos na eira a esse cenário, para construir o movimento de reviravolta no curso dos acontecimentos</w:t>
      </w:r>
      <w:r w:rsidDel="00000000" w:rsidR="00000000" w:rsidRPr="00000000">
        <w:rPr>
          <w:rFonts w:ascii="Century Gothic" w:cs="Century Gothic" w:eastAsia="Century Gothic" w:hAnsi="Century Gothic"/>
          <w:sz w:val="24"/>
          <w:szCs w:val="24"/>
          <w:vertAlign w:val="superscript"/>
        </w:rPr>
        <w:footnoteReference w:customMarkFollows="0" w:id="16"/>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BF">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cena da retribuição evoca a cena do estupro coletivo: assim como os inimigos se reúnem sobre a jovem, a fim de a destroçar, eles serão reunidos por Deus como grãos e debulhados sobre a eira. A horizontalidade da mulher no ato da violação e da eira contribui para estruturar a correlação entre os atos verticais e violentos.</w:t>
      </w:r>
    </w:p>
    <w:p w:rsidR="00000000" w:rsidDel="00000000" w:rsidP="00000000" w:rsidRDefault="00000000" w:rsidRPr="00000000" w14:paraId="000000C0">
      <w:pPr>
        <w:spacing w:after="120" w:line="36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1">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w:t>
      </w:r>
      <w:r w:rsidDel="00000000" w:rsidR="00000000" w:rsidRPr="00000000">
        <w:rPr>
          <w:rFonts w:ascii="Century Gothic" w:cs="Century Gothic" w:eastAsia="Century Gothic" w:hAnsi="Century Gothic"/>
          <w:b w:val="1"/>
          <w:i w:val="1"/>
          <w:sz w:val="24"/>
          <w:szCs w:val="24"/>
          <w:rtl w:val="0"/>
        </w:rPr>
        <w:t xml:space="preserve">Bat sion</w:t>
      </w:r>
      <w:r w:rsidDel="00000000" w:rsidR="00000000" w:rsidRPr="00000000">
        <w:rPr>
          <w:rFonts w:ascii="Century Gothic" w:cs="Century Gothic" w:eastAsia="Century Gothic" w:hAnsi="Century Gothic"/>
          <w:b w:val="1"/>
          <w:sz w:val="24"/>
          <w:szCs w:val="24"/>
          <w:rtl w:val="0"/>
        </w:rPr>
        <w:t xml:space="preserve"> e a restauração da virgem </w:t>
      </w:r>
    </w:p>
    <w:p w:rsidR="00000000" w:rsidDel="00000000" w:rsidP="00000000" w:rsidRDefault="00000000" w:rsidRPr="00000000" w14:paraId="000000C2">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Nas profecias, a restauração da filha permite o retorno de Deus — à casa, ao povo, à terra, à cidade, ao templo e à sua função na família patriarcal —, a fim de que habite no meio de Israel. É o próprio Deus que diz à jovem:</w:t>
      </w:r>
    </w:p>
    <w:p w:rsidR="00000000" w:rsidDel="00000000" w:rsidP="00000000" w:rsidRDefault="00000000" w:rsidRPr="00000000" w14:paraId="000000C3">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 amor eterno eu a amei;</w:t>
      </w:r>
    </w:p>
    <w:p w:rsidR="00000000" w:rsidDel="00000000" w:rsidP="00000000" w:rsidRDefault="00000000" w:rsidRPr="00000000" w14:paraId="000000C4">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 isso, com bondade a atraí.</w:t>
      </w:r>
    </w:p>
    <w:p w:rsidR="00000000" w:rsidDel="00000000" w:rsidP="00000000" w:rsidRDefault="00000000" w:rsidRPr="00000000" w14:paraId="000000C5">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Eu a edificarei de novo,</w:t>
      </w:r>
    </w:p>
    <w:p w:rsidR="00000000" w:rsidDel="00000000" w:rsidP="00000000" w:rsidRDefault="00000000" w:rsidRPr="00000000" w14:paraId="000000C6">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você será edificada,</w:t>
      </w:r>
    </w:p>
    <w:p w:rsidR="00000000" w:rsidDel="00000000" w:rsidP="00000000" w:rsidRDefault="00000000" w:rsidRPr="00000000" w14:paraId="000000C7">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ó virgem de Israel!</w:t>
      </w:r>
    </w:p>
    <w:p w:rsidR="00000000" w:rsidDel="00000000" w:rsidP="00000000" w:rsidRDefault="00000000" w:rsidRPr="00000000" w14:paraId="000000C8">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Mais uma vez você se enfeitará</w:t>
      </w:r>
    </w:p>
    <w:p w:rsidR="00000000" w:rsidDel="00000000" w:rsidP="00000000" w:rsidRDefault="00000000" w:rsidRPr="00000000" w14:paraId="000000C9">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 os seus tamborins</w:t>
      </w:r>
    </w:p>
    <w:p w:rsidR="00000000" w:rsidDel="00000000" w:rsidP="00000000" w:rsidRDefault="00000000" w:rsidRPr="00000000" w14:paraId="000000CA">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sairá com o coro</w:t>
      </w:r>
    </w:p>
    <w:p w:rsidR="00000000" w:rsidDel="00000000" w:rsidP="00000000" w:rsidRDefault="00000000" w:rsidRPr="00000000" w14:paraId="000000CB">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dos que dançam.</w:t>
      </w:r>
    </w:p>
    <w:p w:rsidR="00000000" w:rsidDel="00000000" w:rsidP="00000000" w:rsidRDefault="00000000" w:rsidRPr="00000000" w14:paraId="000000CC">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Mais uma vez</w:t>
      </w:r>
    </w:p>
    <w:p w:rsidR="00000000" w:rsidDel="00000000" w:rsidP="00000000" w:rsidRDefault="00000000" w:rsidRPr="00000000" w14:paraId="000000CD">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você plantará vinhas</w:t>
      </w:r>
    </w:p>
    <w:p w:rsidR="00000000" w:rsidDel="00000000" w:rsidP="00000000" w:rsidRDefault="00000000" w:rsidRPr="00000000" w14:paraId="000000CE">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nos montes de Samaria;</w:t>
      </w:r>
    </w:p>
    <w:p w:rsidR="00000000" w:rsidDel="00000000" w:rsidP="00000000" w:rsidRDefault="00000000" w:rsidRPr="00000000" w14:paraId="000000CF">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aqueles que as plantarem</w:t>
      </w:r>
    </w:p>
    <w:p w:rsidR="00000000" w:rsidDel="00000000" w:rsidP="00000000" w:rsidRDefault="00000000" w:rsidRPr="00000000" w14:paraId="000000D0">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comerão os frutos.</w:t>
      </w:r>
    </w:p>
    <w:p w:rsidR="00000000" w:rsidDel="00000000" w:rsidP="00000000" w:rsidRDefault="00000000" w:rsidRPr="00000000" w14:paraId="000000D1">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Porque virá o dia</w:t>
      </w:r>
    </w:p>
    <w:p w:rsidR="00000000" w:rsidDel="00000000" w:rsidP="00000000" w:rsidRDefault="00000000" w:rsidRPr="00000000" w14:paraId="000000D2">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 que os atalaias gritarão</w:t>
      </w:r>
    </w:p>
    <w:p w:rsidR="00000000" w:rsidDel="00000000" w:rsidP="00000000" w:rsidRDefault="00000000" w:rsidRPr="00000000" w14:paraId="000000D3">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 região montanhosa de Efraim:</w:t>
      </w:r>
    </w:p>
    <w:p w:rsidR="00000000" w:rsidDel="00000000" w:rsidP="00000000" w:rsidRDefault="00000000" w:rsidRPr="00000000" w14:paraId="000000D4">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“Levantem-se, e subamos a Sião,</w:t>
      </w:r>
    </w:p>
    <w:p w:rsidR="00000000" w:rsidDel="00000000" w:rsidP="00000000" w:rsidRDefault="00000000" w:rsidRPr="00000000" w14:paraId="000000D5">
      <w:pPr>
        <w:spacing w:after="0" w:line="276" w:lineRule="auto"/>
        <w:ind w:left="22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ao </w:t>
      </w:r>
      <w:r w:rsidDel="00000000" w:rsidR="00000000" w:rsidRPr="00000000">
        <w:rPr>
          <w:rFonts w:ascii="Century Gothic" w:cs="Century Gothic" w:eastAsia="Century Gothic" w:hAnsi="Century Gothic"/>
          <w:smallCaps w:val="1"/>
          <w:sz w:val="20"/>
          <w:szCs w:val="20"/>
          <w:rtl w:val="0"/>
        </w:rPr>
        <w:t xml:space="preserve">Senhor</w:t>
      </w:r>
      <w:r w:rsidDel="00000000" w:rsidR="00000000" w:rsidRPr="00000000">
        <w:rPr>
          <w:rFonts w:ascii="Century Gothic" w:cs="Century Gothic" w:eastAsia="Century Gothic" w:hAnsi="Century Gothic"/>
          <w:sz w:val="20"/>
          <w:szCs w:val="20"/>
          <w:rtl w:val="0"/>
        </w:rPr>
        <w:t xml:space="preserve">, nosso Deus!”</w:t>
      </w:r>
    </w:p>
    <w:p w:rsidR="00000000" w:rsidDel="00000000" w:rsidP="00000000" w:rsidRDefault="00000000" w:rsidRPr="00000000" w14:paraId="000000D6">
      <w:pPr>
        <w:spacing w:after="0" w:line="276" w:lineRule="auto"/>
        <w:ind w:left="2260" w:firstLine="0"/>
        <w:jc w:val="both"/>
        <w:rPr>
          <w:rFonts w:ascii="Century Gothic" w:cs="Century Gothic" w:eastAsia="Century Gothic" w:hAnsi="Century Gothic"/>
          <w:sz w:val="20"/>
          <w:szCs w:val="20"/>
        </w:rPr>
      </w:pPr>
      <w:bookmarkStart w:colFirst="0" w:colLast="0" w:name="_heading=h.1fob9te" w:id="2"/>
      <w:bookmarkEnd w:id="2"/>
      <w:r w:rsidDel="00000000" w:rsidR="00000000" w:rsidRPr="00000000">
        <w:rPr>
          <w:rFonts w:ascii="Century Gothic" w:cs="Century Gothic" w:eastAsia="Century Gothic" w:hAnsi="Century Gothic"/>
          <w:sz w:val="20"/>
          <w:szCs w:val="20"/>
          <w:rtl w:val="0"/>
        </w:rPr>
        <w:t xml:space="preserve">(Jr 31.3-6)</w:t>
      </w:r>
    </w:p>
    <w:p w:rsidR="00000000" w:rsidDel="00000000" w:rsidP="00000000" w:rsidRDefault="00000000" w:rsidRPr="00000000" w14:paraId="000000D7">
      <w:pPr>
        <w:spacing w:after="0" w:line="276" w:lineRule="auto"/>
        <w:ind w:left="226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8">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Essa passagem ressalta o amor de Deus e o restabelecimento da jovem, que performatiza seu livramento, com coros e danças. A linguagem empregada revela um Deus pessoal, atento e cuidadoso. A reedificação implica a restituição miraculosa da virgindade da jovem, que sairá às ruas externando seu deleite, como o costume das jovens na Bíblia Hebraica (1Sm 18.6-7; Sl 30.11-12; 149.2-3; Jr 31.13) — quase uma rememoração da cena de Miriã, diante da abertura do mar, liderando um cortejo de moças que dançavam e se regozijavam pela libertação do Egito (Êx 15.20-21).</w:t>
      </w:r>
    </w:p>
    <w:p w:rsidR="00000000" w:rsidDel="00000000" w:rsidP="00000000" w:rsidRDefault="00000000" w:rsidRPr="00000000" w14:paraId="000000D9">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imagem mais veemente da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e de sua relação com Deus, no entanto, encontra-se em um texto sem paralelo na Bíblia Hebraica, que a descreve em termos míticos.</w:t>
      </w:r>
    </w:p>
    <w:p w:rsidR="00000000" w:rsidDel="00000000" w:rsidP="00000000" w:rsidRDefault="00000000" w:rsidRPr="00000000" w14:paraId="000000DA">
      <w:pPr>
        <w:spacing w:after="120" w:line="36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B">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 </w:t>
      </w:r>
      <w:r w:rsidDel="00000000" w:rsidR="00000000" w:rsidRPr="00000000">
        <w:rPr>
          <w:rFonts w:ascii="Century Gothic" w:cs="Century Gothic" w:eastAsia="Century Gothic" w:hAnsi="Century Gothic"/>
          <w:b w:val="1"/>
          <w:i w:val="1"/>
          <w:sz w:val="24"/>
          <w:szCs w:val="24"/>
          <w:rtl w:val="0"/>
        </w:rPr>
        <w:t xml:space="preserve">Bat tsion</w:t>
      </w:r>
      <w:r w:rsidDel="00000000" w:rsidR="00000000" w:rsidRPr="00000000">
        <w:rPr>
          <w:rFonts w:ascii="Century Gothic" w:cs="Century Gothic" w:eastAsia="Century Gothic" w:hAnsi="Century Gothic"/>
          <w:b w:val="1"/>
          <w:sz w:val="24"/>
          <w:szCs w:val="24"/>
          <w:rtl w:val="0"/>
        </w:rPr>
        <w:t xml:space="preserve">: a toura</w:t>
      </w:r>
    </w:p>
    <w:p w:rsidR="00000000" w:rsidDel="00000000" w:rsidP="00000000" w:rsidRDefault="00000000" w:rsidRPr="00000000" w14:paraId="000000DC">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ergue-te e pisoteia,</w:t>
      </w:r>
    </w:p>
    <w:p w:rsidR="00000000" w:rsidDel="00000000" w:rsidP="00000000" w:rsidRDefault="00000000" w:rsidRPr="00000000" w14:paraId="000000DD">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i w:val="1"/>
          <w:sz w:val="20"/>
          <w:szCs w:val="20"/>
          <w:rtl w:val="0"/>
        </w:rPr>
        <w:t xml:space="preserve">bat tsion</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DE">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porque teus chifres farei de ferro </w:t>
      </w:r>
    </w:p>
    <w:p w:rsidR="00000000" w:rsidDel="00000000" w:rsidP="00000000" w:rsidRDefault="00000000" w:rsidRPr="00000000" w14:paraId="000000DF">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teus cascos farei de bronze</w:t>
      </w:r>
    </w:p>
    <w:p w:rsidR="00000000" w:rsidDel="00000000" w:rsidP="00000000" w:rsidRDefault="00000000" w:rsidRPr="00000000" w14:paraId="000000E0">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esmigalhes</w:t>
      </w:r>
    </w:p>
    <w:p w:rsidR="00000000" w:rsidDel="00000000" w:rsidP="00000000" w:rsidRDefault="00000000" w:rsidRPr="00000000" w14:paraId="000000E1">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muitos povos</w:t>
      </w:r>
    </w:p>
    <w:p w:rsidR="00000000" w:rsidDel="00000000" w:rsidP="00000000" w:rsidRDefault="00000000" w:rsidRPr="00000000" w14:paraId="000000E2">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entregues [como anátema]</w:t>
      </w:r>
    </w:p>
    <w:p w:rsidR="00000000" w:rsidDel="00000000" w:rsidP="00000000" w:rsidRDefault="00000000" w:rsidRPr="00000000" w14:paraId="000000E3">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YHWH</w:t>
      </w:r>
    </w:p>
    <w:p w:rsidR="00000000" w:rsidDel="00000000" w:rsidP="00000000" w:rsidRDefault="00000000" w:rsidRPr="00000000" w14:paraId="000000E4">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seu lucro ilícito</w:t>
      </w:r>
    </w:p>
    <w:p w:rsidR="00000000" w:rsidDel="00000000" w:rsidP="00000000" w:rsidRDefault="00000000" w:rsidRPr="00000000" w14:paraId="000000E5">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 sua potência</w:t>
      </w:r>
    </w:p>
    <w:p w:rsidR="00000000" w:rsidDel="00000000" w:rsidP="00000000" w:rsidRDefault="00000000" w:rsidRPr="00000000" w14:paraId="000000E6">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ao senhor de toda a Terra.</w:t>
      </w:r>
    </w:p>
    <w:p w:rsidR="00000000" w:rsidDel="00000000" w:rsidP="00000000" w:rsidRDefault="00000000" w:rsidRPr="00000000" w14:paraId="000000E7">
      <w:pPr>
        <w:spacing w:after="0" w:line="240" w:lineRule="auto"/>
        <w:ind w:left="2268"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(Mq 4.13, tradução nossa)</w:t>
      </w:r>
    </w:p>
    <w:p w:rsidR="00000000" w:rsidDel="00000000" w:rsidP="00000000" w:rsidRDefault="00000000" w:rsidRPr="00000000" w14:paraId="000000E8">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9">
      <w:pPr>
        <w:spacing w:after="0" w:line="240" w:lineRule="auto"/>
        <w:ind w:left="2268"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A">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Nesse excerto, surge uma imagem singular: a da filha à qual Deus ordena erguer-se — do pó, do luto ou da posição horizontal de violentada — para ser transmutada em uma besta mitológica, dotada de chifres de ferro e cascos de bronze, para trilhar, pisotear e esmagar os seus inimigos, tornando-se agente da retribuição, uma verdadeira guerreira de Deus que devota ao anátema a vida e o espólio dos inimigos.</w:t>
      </w:r>
    </w:p>
    <w:p w:rsidR="00000000" w:rsidDel="00000000" w:rsidP="00000000" w:rsidRDefault="00000000" w:rsidRPr="00000000" w14:paraId="000000EB">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Para muito além de uma mulher que chora o infortúnio de Sião, seguindo a tradição dos epítetos divinos mesopotâmicos nas lamentações das deusas, ou, ainda, de uma jovem virgem desejada e violentada pelos invasores, </w:t>
      </w:r>
      <w:r w:rsidDel="00000000" w:rsidR="00000000" w:rsidRPr="00000000">
        <w:rPr>
          <w:rFonts w:ascii="Century Gothic" w:cs="Century Gothic" w:eastAsia="Century Gothic" w:hAnsi="Century Gothic"/>
          <w:i w:val="1"/>
          <w:sz w:val="24"/>
          <w:szCs w:val="24"/>
          <w:rtl w:val="0"/>
        </w:rPr>
        <w:t xml:space="preserve">bat tsion </w:t>
      </w:r>
      <w:r w:rsidDel="00000000" w:rsidR="00000000" w:rsidRPr="00000000">
        <w:rPr>
          <w:rFonts w:ascii="Century Gothic" w:cs="Century Gothic" w:eastAsia="Century Gothic" w:hAnsi="Century Gothic"/>
          <w:sz w:val="24"/>
          <w:szCs w:val="24"/>
          <w:rtl w:val="0"/>
        </w:rPr>
        <w:t xml:space="preserve">aqui é como uma toura selvagem, potente e indestrutível, dotada de atributos divinos para poder levar a cabo a sua vingança pessoal, como filha e mulher, que é a vingança do próprio Deus. Essa imagem surpreendente é consonante com a ira divina e contrasta fortemente com a reedificação amorosa da filha violentada. </w:t>
      </w:r>
    </w:p>
    <w:p w:rsidR="00000000" w:rsidDel="00000000" w:rsidP="00000000" w:rsidRDefault="00000000" w:rsidRPr="00000000" w14:paraId="000000EC">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associação dos metais bronze e ferro remete diretamente à inexorável maldição: “ O céu sobre a cabeça de vocês será de bronze, e a terra debaixo de vocês será de ferro” (Dt 28.23). Em outras palavras, não haverá misericórdia para os inimigos. </w:t>
      </w:r>
    </w:p>
    <w:p w:rsidR="00000000" w:rsidDel="00000000" w:rsidP="00000000" w:rsidRDefault="00000000" w:rsidRPr="00000000" w14:paraId="000000ED">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imagem de uma novilha que pisoteia violentamente o grão na eira, embora domesticada, figura em Oseias 10.11, na caracterização do comportamento errático de Efraim, a quem Deus atrela a fim de sofrear o seu ímpeto selvagem e destruidor.</w:t>
      </w:r>
    </w:p>
    <w:p w:rsidR="00000000" w:rsidDel="00000000" w:rsidP="00000000" w:rsidRDefault="00000000" w:rsidRPr="00000000" w14:paraId="000000EE">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Por outro lado, a lei proíbe amordaçar o boi que debulha o grão; seu bufar constitui parte do impulso de violência, necessário para levar a termo a sua tarefa (Dt 25.4). </w:t>
      </w:r>
    </w:p>
    <w:p w:rsidR="00000000" w:rsidDel="00000000" w:rsidP="00000000" w:rsidRDefault="00000000" w:rsidRPr="00000000" w14:paraId="000000EF">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imagem do touro que investe com fúria incontrolável contra vários povos para destruí-los, de forma implacável, é uma conhecida metáfora bíblica: Moisés compara José ao touro primogênito, no qual se concentram as primícias do vigor , e que, com seus “chifres de touro” — emblema da sua glória e altivez —, destruirá povos até as extremidades da Terra (Dt 33.17).</w:t>
      </w:r>
    </w:p>
    <w:p w:rsidR="00000000" w:rsidDel="00000000" w:rsidP="00000000" w:rsidRDefault="00000000" w:rsidRPr="00000000" w14:paraId="000000F0">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 o mesmo sentido, os chifres de ferro que o profeta extático Zedequias confecciona para si — em sua performance para os reis de Israel e Judá, sentados juntos numa eira diante dos portões de Samaria — simbolizam o valor e o poder atribuídos por Deus aos reis para a consecução do violento combate mortal contra os arameus, inimigos de ambos os reinos (1Rs 22.10-11).</w:t>
      </w:r>
    </w:p>
    <w:p w:rsidR="00000000" w:rsidDel="00000000" w:rsidP="00000000" w:rsidRDefault="00000000" w:rsidRPr="00000000" w14:paraId="000000F1">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 Miqueias, </w:t>
      </w:r>
      <w:r w:rsidDel="00000000" w:rsidR="00000000" w:rsidRPr="00000000">
        <w:rPr>
          <w:rFonts w:ascii="Century Gothic" w:cs="Century Gothic" w:eastAsia="Century Gothic" w:hAnsi="Century Gothic"/>
          <w:i w:val="1"/>
          <w:sz w:val="24"/>
          <w:szCs w:val="24"/>
          <w:rtl w:val="0"/>
        </w:rPr>
        <w:t xml:space="preserve">bat tsion</w:t>
      </w:r>
      <w:r w:rsidDel="00000000" w:rsidR="00000000" w:rsidRPr="00000000">
        <w:rPr>
          <w:rFonts w:ascii="Century Gothic" w:cs="Century Gothic" w:eastAsia="Century Gothic" w:hAnsi="Century Gothic"/>
          <w:sz w:val="24"/>
          <w:szCs w:val="24"/>
          <w:rtl w:val="0"/>
        </w:rPr>
        <w:t xml:space="preserve"> é uma jovem vulnerável, frágil, indefesa e cerceada, vista e sexualmente desejada pelas nações, que é alvo de seus anseios violentos. Que ela destrua com força e valentia os inimigos sob seus pés é uma alternância tão interessante e curiosa quanto a que Miqueias e os outros profetas constroem ao longo de sua retórica, entre bênçãos e maldições, oráculos de destruição e profecias de restauração. Trata-se do tipo de inovação que os profetas bíblicos imprimiram à imagem da deusa que chora, em clara subversão e extensão dela. </w:t>
      </w:r>
    </w:p>
    <w:p w:rsidR="00000000" w:rsidDel="00000000" w:rsidP="00000000" w:rsidRDefault="00000000" w:rsidRPr="00000000" w14:paraId="000000F2">
      <w:pPr>
        <w:spacing w:after="120"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filha, a personificação da cidade e do templo, ganha contornos inesperados ao ser revitalizada de forma surpreendente na boca dos profetas. Mais do que se apropriar do </w:t>
      </w:r>
      <w:r w:rsidDel="00000000" w:rsidR="00000000" w:rsidRPr="00000000">
        <w:rPr>
          <w:rFonts w:ascii="Century Gothic" w:cs="Century Gothic" w:eastAsia="Century Gothic" w:hAnsi="Century Gothic"/>
          <w:i w:val="1"/>
          <w:sz w:val="24"/>
          <w:szCs w:val="24"/>
          <w:rtl w:val="0"/>
        </w:rPr>
        <w:t xml:space="preserve">motiv </w:t>
      </w:r>
      <w:r w:rsidDel="00000000" w:rsidR="00000000" w:rsidRPr="00000000">
        <w:rPr>
          <w:rFonts w:ascii="Century Gothic" w:cs="Century Gothic" w:eastAsia="Century Gothic" w:hAnsi="Century Gothic"/>
          <w:sz w:val="24"/>
          <w:szCs w:val="24"/>
          <w:rtl w:val="0"/>
        </w:rPr>
        <w:t xml:space="preserve">mesopotâmico, os profetas o recriam, repensam e acrescentam-lhe contornos próprios e originais, fazendo da filha não uma cidadã da cidade, apenas, mas uma personagem poderosa do clã do próprio Deus de Israel.</w:t>
      </w:r>
    </w:p>
    <w:p w:rsidR="00000000" w:rsidDel="00000000" w:rsidP="00000000" w:rsidRDefault="00000000" w:rsidRPr="00000000" w14:paraId="000000F3">
      <w:pPr>
        <w:spacing w:after="120" w:line="360"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F4">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Considerações finais</w:t>
      </w:r>
    </w:p>
    <w:p w:rsidR="00000000" w:rsidDel="00000000" w:rsidP="00000000" w:rsidRDefault="00000000" w:rsidRPr="00000000" w14:paraId="000000F5">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Neste breve ensaio, buscou-se apresentar a imagem da filha na profecia da Bíblia Hebraica. A evocação é de uma personagem, em muitos sentidos, oprimida nas narrativas bíblicas. Há filhas estupradas (Diná, em Gênesis 34, e Tamar, em 2Samuel 13, por exemplo); manipuladas e espoliadas por homens cuja função era atuar na defesa de seus interesses (Labão é um caso representativo, já que dá em casamento a filha mais velha em lugar da mais nova, em Gênesis 29.16-30, sem que possamos ouvir a voz de qualquer uma delas na narrativa; e, em Gênesis 31.14-16, as próprias filhas dizem que o pai as vendeu como estrangeiras); que sofrem e são punidas (como a filha de Jefté, que é morta virgem devido a um voto feito pelo pai, em Juízes 11.29-40). Por outro lado, a fragilidade do </w:t>
      </w:r>
      <w:r w:rsidDel="00000000" w:rsidR="00000000" w:rsidRPr="00000000">
        <w:rPr>
          <w:rFonts w:ascii="Century Gothic" w:cs="Century Gothic" w:eastAsia="Century Gothic" w:hAnsi="Century Gothic"/>
          <w:i w:val="1"/>
          <w:sz w:val="24"/>
          <w:szCs w:val="24"/>
          <w:rtl w:val="0"/>
        </w:rPr>
        <w:t xml:space="preserve">status</w:t>
      </w:r>
      <w:r w:rsidDel="00000000" w:rsidR="00000000" w:rsidRPr="00000000">
        <w:rPr>
          <w:rFonts w:ascii="Century Gothic" w:cs="Century Gothic" w:eastAsia="Century Gothic" w:hAnsi="Century Gothic"/>
          <w:sz w:val="24"/>
          <w:szCs w:val="24"/>
          <w:rtl w:val="0"/>
        </w:rPr>
        <w:t xml:space="preserve"> de filha na família patriarcal não ensombra sua vivacidade, traço coletivo proeminente das jovens na Bíblia Hebraica, que as retrata alegres, dançando e cantando em público.</w:t>
      </w:r>
    </w:p>
    <w:p w:rsidR="00000000" w:rsidDel="00000000" w:rsidP="00000000" w:rsidRDefault="00000000" w:rsidRPr="00000000" w14:paraId="000000F6">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Entrevemos que os profetas, ao fazerem uso da imagem da filha, construíram metáforas e símiles para falar de invasões, domínio e exercício de poder — um poder temporal e também religioso/espiritual. A profanação da jovem, por meio de sua virgindade violada, é a imagem que eles criaram para descrever o horror das invasões, da destruição e da conquista dos inimigos — da cidade e do templo. </w:t>
      </w:r>
    </w:p>
    <w:p w:rsidR="00000000" w:rsidDel="00000000" w:rsidP="00000000" w:rsidRDefault="00000000" w:rsidRPr="00000000" w14:paraId="000000F7">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 Miqueias 4.11, agrega-se à violência perpetrada pelos inimigos o deleite ao olhar a filha ser violentada — um prazer logo frustrado e interrompido pela potente resposta da filha de Sião.</w:t>
      </w:r>
    </w:p>
    <w:p w:rsidR="00000000" w:rsidDel="00000000" w:rsidP="00000000" w:rsidRDefault="00000000" w:rsidRPr="00000000" w14:paraId="000000F8">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filha, assim, se mostra uma imagem literária complexa e bela, que combina com as alternâncias, as oscilações e os movimentos ambivalentes da retórica profética, que ora denuncia o pecado do povo e anuncia o juízo divino, ora insta o povo a se arrepender e vislumbra para ele um futuro maravilhoso.</w:t>
      </w:r>
    </w:p>
    <w:p w:rsidR="00000000" w:rsidDel="00000000" w:rsidP="00000000" w:rsidRDefault="00000000" w:rsidRPr="00000000" w14:paraId="000000F9">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Os profetas bíblicos, ao empregar um modelo advindo de uma tradição mesopotâmica de lamentação, fizeram-no de forma inovadora e crítica. À imagem da deusa que chora, nos epítetos mesopotâmicos, agregaram camadas importantes de sentido, descrevendo o empoderamento da filha por meio do favor divino e delineando-a de forma a não somente personificar a cidade, mas o monte santo, a habitação de Deus, e o próprio templo. </w:t>
      </w:r>
    </w:p>
    <w:p w:rsidR="00000000" w:rsidDel="00000000" w:rsidP="00000000" w:rsidRDefault="00000000" w:rsidRPr="00000000" w14:paraId="000000FA">
      <w:pPr>
        <w:spacing w:after="288" w:line="360" w:lineRule="auto"/>
        <w:ind w:firstLine="709"/>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 isso, desviaram-se da tradição, desafiando-a e extrapolando-a, subvertendo uma figura tradicional e construindo uma metáfora singular, poderosa e renovada.</w:t>
      </w:r>
    </w:p>
    <w:p w:rsidR="00000000" w:rsidDel="00000000" w:rsidP="00000000" w:rsidRDefault="00000000" w:rsidRPr="00000000" w14:paraId="000000FB">
      <w:pPr>
        <w:spacing w:after="0" w:line="360"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FC">
      <w:pPr>
        <w:spacing w:after="12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Referências</w:t>
      </w:r>
    </w:p>
    <w:p w:rsidR="00000000" w:rsidDel="00000000" w:rsidP="00000000" w:rsidRDefault="00000000" w:rsidRPr="00000000" w14:paraId="000000FD">
      <w:pPr>
        <w:spacing w:after="280" w:before="240"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BÍBLIA SAGRADA. </w:t>
      </w:r>
      <w:r w:rsidDel="00000000" w:rsidR="00000000" w:rsidRPr="00000000">
        <w:rPr>
          <w:rFonts w:ascii="Century Gothic" w:cs="Century Gothic" w:eastAsia="Century Gothic" w:hAnsi="Century Gothic"/>
          <w:sz w:val="24"/>
          <w:szCs w:val="24"/>
          <w:rtl w:val="0"/>
        </w:rPr>
        <w:t xml:space="preserve">Tradução Nova Almeida Atualizada. Barueri: Sociedade Bíblica do Brasil, 2017.</w:t>
      </w:r>
    </w:p>
    <w:p w:rsidR="00000000" w:rsidDel="00000000" w:rsidP="00000000" w:rsidRDefault="00000000" w:rsidRPr="00000000" w14:paraId="000000FE">
      <w:pPr>
        <w:spacing w:after="280" w:before="240" w:line="36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BIBLIA HEBRAICA STUTTGARTENSIA.</w:t>
      </w:r>
      <w:r w:rsidDel="00000000" w:rsidR="00000000" w:rsidRPr="00000000">
        <w:rPr>
          <w:rFonts w:ascii="Century Gothic" w:cs="Century Gothic" w:eastAsia="Century Gothic" w:hAnsi="Century Gothic"/>
          <w:sz w:val="24"/>
          <w:szCs w:val="24"/>
          <w:rtl w:val="0"/>
        </w:rPr>
        <w:t xml:space="preserve"> Quinta edição revisada. Barueri: Sociedade Bíblica do Brasil, 2019.</w:t>
      </w:r>
      <w:r w:rsidDel="00000000" w:rsidR="00000000" w:rsidRPr="00000000">
        <w:rPr>
          <w:rtl w:val="0"/>
        </w:rPr>
      </w:r>
    </w:p>
    <w:p w:rsidR="00000000" w:rsidDel="00000000" w:rsidP="00000000" w:rsidRDefault="00000000" w:rsidRPr="00000000" w14:paraId="000000FF">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BODA, Mark J.; DEMPSEY, Carol J. (Eds.). </w:t>
      </w:r>
      <w:r w:rsidDel="00000000" w:rsidR="00000000" w:rsidRPr="00000000">
        <w:rPr>
          <w:rFonts w:ascii="Century Gothic" w:cs="Century Gothic" w:eastAsia="Century Gothic" w:hAnsi="Century Gothic"/>
          <w:b w:val="1"/>
          <w:sz w:val="24"/>
          <w:szCs w:val="24"/>
          <w:rtl w:val="0"/>
        </w:rPr>
        <w:t xml:space="preserve">Daughter Zion: </w:t>
      </w:r>
      <w:r w:rsidDel="00000000" w:rsidR="00000000" w:rsidRPr="00000000">
        <w:rPr>
          <w:rFonts w:ascii="Century Gothic" w:cs="Century Gothic" w:eastAsia="Century Gothic" w:hAnsi="Century Gothic"/>
          <w:sz w:val="24"/>
          <w:szCs w:val="24"/>
          <w:rtl w:val="0"/>
        </w:rPr>
        <w:t xml:space="preserve">Her Portrait, Her Response. Atlanta: Society of Biblical Literature, 2012.</w:t>
      </w:r>
    </w:p>
    <w:p w:rsidR="00000000" w:rsidDel="00000000" w:rsidP="00000000" w:rsidRDefault="00000000" w:rsidRPr="00000000" w14:paraId="00000100">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BROWN, Francis; DRIVER, S. R.; BRIGGS, Charles (eds.). </w:t>
      </w:r>
      <w:r w:rsidDel="00000000" w:rsidR="00000000" w:rsidRPr="00000000">
        <w:rPr>
          <w:rFonts w:ascii="Century Gothic" w:cs="Century Gothic" w:eastAsia="Century Gothic" w:hAnsi="Century Gothic"/>
          <w:b w:val="1"/>
          <w:sz w:val="24"/>
          <w:szCs w:val="24"/>
          <w:rtl w:val="0"/>
        </w:rPr>
        <w:t xml:space="preserve">A Hebrew and English lexicon of the Old Testament.</w:t>
      </w:r>
      <w:r w:rsidDel="00000000" w:rsidR="00000000" w:rsidRPr="00000000">
        <w:rPr>
          <w:rtl w:val="0"/>
        </w:rPr>
        <w:t xml:space="preserve"> </w:t>
      </w:r>
      <w:r w:rsidDel="00000000" w:rsidR="00000000" w:rsidRPr="00000000">
        <w:rPr>
          <w:rFonts w:ascii="Century Gothic" w:cs="Century Gothic" w:eastAsia="Century Gothic" w:hAnsi="Century Gothic"/>
          <w:sz w:val="24"/>
          <w:szCs w:val="24"/>
          <w:rtl w:val="0"/>
        </w:rPr>
        <w:t xml:space="preserve">Oxford: Oxford University Press, 1906/1951. Disponível em </w:t>
      </w:r>
      <w:hyperlink r:id="rId11">
        <w:r w:rsidDel="00000000" w:rsidR="00000000" w:rsidRPr="00000000">
          <w:rPr>
            <w:rFonts w:ascii="Century Gothic" w:cs="Century Gothic" w:eastAsia="Century Gothic" w:hAnsi="Century Gothic"/>
            <w:color w:val="000000"/>
            <w:sz w:val="24"/>
            <w:szCs w:val="24"/>
            <w:u w:val="single"/>
            <w:rtl w:val="0"/>
          </w:rPr>
          <w:t xml:space="preserve">https://biblehub.com/bdb/1.htm</w:t>
        </w:r>
      </w:hyperlink>
      <w:r w:rsidDel="00000000" w:rsidR="00000000" w:rsidRPr="00000000">
        <w:rPr>
          <w:rFonts w:ascii="Century Gothic" w:cs="Century Gothic" w:eastAsia="Century Gothic" w:hAnsi="Century Gothic"/>
          <w:sz w:val="24"/>
          <w:szCs w:val="24"/>
          <w:rtl w:val="0"/>
        </w:rPr>
        <w:t xml:space="preserve">. Acesso em 24 mai. 2021.</w:t>
      </w:r>
    </w:p>
    <w:p w:rsidR="00000000" w:rsidDel="00000000" w:rsidP="00000000" w:rsidRDefault="00000000" w:rsidRPr="00000000" w14:paraId="00000101">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CHWARTS, S. Família e clã nas narrativas patriarcais e na literatura profética: um breve comentário. </w:t>
      </w:r>
      <w:r w:rsidDel="00000000" w:rsidR="00000000" w:rsidRPr="00000000">
        <w:rPr>
          <w:rFonts w:ascii="Century Gothic" w:cs="Century Gothic" w:eastAsia="Century Gothic" w:hAnsi="Century Gothic"/>
          <w:b w:val="1"/>
          <w:sz w:val="24"/>
          <w:szCs w:val="24"/>
          <w:rtl w:val="0"/>
        </w:rPr>
        <w:t xml:space="preserve">Cadernos de Língua e Literatura Hebraica</w:t>
      </w:r>
      <w:r w:rsidDel="00000000" w:rsidR="00000000" w:rsidRPr="00000000">
        <w:rPr>
          <w:rFonts w:ascii="Century Gothic" w:cs="Century Gothic" w:eastAsia="Century Gothic" w:hAnsi="Century Gothic"/>
          <w:sz w:val="24"/>
          <w:szCs w:val="24"/>
          <w:rtl w:val="0"/>
        </w:rPr>
        <w:t xml:space="preserve">, [S. l.], n. 14, p. 126-140, 2016. Disponível em: </w:t>
      </w:r>
      <w:hyperlink r:id="rId12">
        <w:r w:rsidDel="00000000" w:rsidR="00000000" w:rsidRPr="00000000">
          <w:rPr>
            <w:rFonts w:ascii="Century Gothic" w:cs="Century Gothic" w:eastAsia="Century Gothic" w:hAnsi="Century Gothic"/>
            <w:color w:val="000000"/>
            <w:sz w:val="24"/>
            <w:szCs w:val="24"/>
            <w:u w:val="single"/>
            <w:rtl w:val="0"/>
          </w:rPr>
          <w:t xml:space="preserve">https://www.revistas.usp.br/cllh/article/view/125036</w:t>
        </w:r>
      </w:hyperlink>
      <w:r w:rsidDel="00000000" w:rsidR="00000000" w:rsidRPr="00000000">
        <w:rPr>
          <w:rFonts w:ascii="Century Gothic" w:cs="Century Gothic" w:eastAsia="Century Gothic" w:hAnsi="Century Gothic"/>
          <w:sz w:val="24"/>
          <w:szCs w:val="24"/>
          <w:rtl w:val="0"/>
        </w:rPr>
        <w:t xml:space="preserve">. Acesso em: 4 mai. 2021.</w:t>
      </w:r>
    </w:p>
    <w:p w:rsidR="00000000" w:rsidDel="00000000" w:rsidP="00000000" w:rsidRDefault="00000000" w:rsidRPr="00000000" w14:paraId="00000102">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_____. </w:t>
      </w:r>
      <w:r w:rsidDel="00000000" w:rsidR="00000000" w:rsidRPr="00000000">
        <w:rPr>
          <w:rFonts w:ascii="Century Gothic" w:cs="Century Gothic" w:eastAsia="Century Gothic" w:hAnsi="Century Gothic"/>
          <w:b w:val="1"/>
          <w:sz w:val="24"/>
          <w:szCs w:val="24"/>
          <w:rtl w:val="0"/>
        </w:rPr>
        <w:t xml:space="preserve">Uma visão da esterilidade na Bíblia Hebraica</w:t>
      </w:r>
      <w:r w:rsidDel="00000000" w:rsidR="00000000" w:rsidRPr="00000000">
        <w:rPr>
          <w:rFonts w:ascii="Century Gothic" w:cs="Century Gothic" w:eastAsia="Century Gothic" w:hAnsi="Century Gothic"/>
          <w:sz w:val="24"/>
          <w:szCs w:val="24"/>
          <w:rtl w:val="0"/>
        </w:rPr>
        <w:t xml:space="preserve">. São Paulo: Humanitas, 2004.</w:t>
      </w:r>
    </w:p>
    <w:p w:rsidR="00000000" w:rsidDel="00000000" w:rsidP="00000000" w:rsidRDefault="00000000" w:rsidRPr="00000000" w14:paraId="00000103">
      <w:pPr>
        <w:spacing w:after="288" w:line="360" w:lineRule="auto"/>
        <w:jc w:val="both"/>
        <w:rPr>
          <w:rFonts w:ascii="Century Gothic" w:cs="Century Gothic" w:eastAsia="Century Gothic" w:hAnsi="Century Gothic"/>
          <w:sz w:val="24"/>
          <w:szCs w:val="24"/>
        </w:rPr>
      </w:pPr>
      <w:bookmarkStart w:colFirst="0" w:colLast="0" w:name="_heading=h.3znysh7" w:id="3"/>
      <w:bookmarkEnd w:id="3"/>
      <w:r w:rsidDel="00000000" w:rsidR="00000000" w:rsidRPr="00000000">
        <w:rPr>
          <w:rFonts w:ascii="Century Gothic" w:cs="Century Gothic" w:eastAsia="Century Gothic" w:hAnsi="Century Gothic"/>
          <w:sz w:val="24"/>
          <w:szCs w:val="24"/>
          <w:rtl w:val="0"/>
        </w:rPr>
        <w:t xml:space="preserve">DOBBS-ALLSOPP, F. W. The Syntagma of Bat Followed by a Geographical Name in The Hebrew Bible: A Reconsideration of its Meaning and Grammar. </w:t>
      </w:r>
      <w:r w:rsidDel="00000000" w:rsidR="00000000" w:rsidRPr="00000000">
        <w:rPr>
          <w:rFonts w:ascii="Century Gothic" w:cs="Century Gothic" w:eastAsia="Century Gothic" w:hAnsi="Century Gothic"/>
          <w:b w:val="1"/>
          <w:sz w:val="24"/>
          <w:szCs w:val="24"/>
          <w:rtl w:val="0"/>
        </w:rPr>
        <w:t xml:space="preserve">The Catholic Biblical Quarterly</w:t>
      </w:r>
      <w:r w:rsidDel="00000000" w:rsidR="00000000" w:rsidRPr="00000000">
        <w:rPr>
          <w:rFonts w:ascii="Century Gothic" w:cs="Century Gothic" w:eastAsia="Century Gothic" w:hAnsi="Century Gothic"/>
          <w:sz w:val="24"/>
          <w:szCs w:val="24"/>
          <w:rtl w:val="0"/>
        </w:rPr>
        <w:t xml:space="preserve"> 57, n. 3, Jul. 1995, pp. 451-470.</w:t>
      </w:r>
    </w:p>
    <w:p w:rsidR="00000000" w:rsidDel="00000000" w:rsidP="00000000" w:rsidRDefault="00000000" w:rsidRPr="00000000" w14:paraId="00000104">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FOLLIS, Elaine R. The Holy City as Daughter. In: </w:t>
      </w:r>
      <w:r w:rsidDel="00000000" w:rsidR="00000000" w:rsidRPr="00000000">
        <w:rPr>
          <w:rFonts w:ascii="Century Gothic" w:cs="Century Gothic" w:eastAsia="Century Gothic" w:hAnsi="Century Gothic"/>
          <w:b w:val="1"/>
          <w:sz w:val="24"/>
          <w:szCs w:val="24"/>
          <w:rtl w:val="0"/>
        </w:rPr>
        <w:t xml:space="preserve">Directions in Biblical Hebrew Poetry</w:t>
      </w:r>
      <w:r w:rsidDel="00000000" w:rsidR="00000000" w:rsidRPr="00000000">
        <w:rPr>
          <w:rFonts w:ascii="Century Gothic" w:cs="Century Gothic" w:eastAsia="Century Gothic" w:hAnsi="Century Gothic"/>
          <w:sz w:val="24"/>
          <w:szCs w:val="24"/>
          <w:rtl w:val="0"/>
        </w:rPr>
        <w:t xml:space="preserve">. Sheffield: JSOT Press, 1987, p. 173-184.</w:t>
      </w:r>
    </w:p>
    <w:p w:rsidR="00000000" w:rsidDel="00000000" w:rsidP="00000000" w:rsidRDefault="00000000" w:rsidRPr="00000000" w14:paraId="00000105">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KARTVEIT, Magnar. </w:t>
      </w:r>
      <w:r w:rsidDel="00000000" w:rsidR="00000000" w:rsidRPr="00000000">
        <w:rPr>
          <w:rFonts w:ascii="Century Gothic" w:cs="Century Gothic" w:eastAsia="Century Gothic" w:hAnsi="Century Gothic"/>
          <w:b w:val="1"/>
          <w:sz w:val="24"/>
          <w:szCs w:val="24"/>
          <w:rtl w:val="0"/>
        </w:rPr>
        <w:t xml:space="preserve">Rejoice, Dear Zion!</w:t>
      </w:r>
      <w:r w:rsidDel="00000000" w:rsidR="00000000" w:rsidRPr="00000000">
        <w:rPr>
          <w:rFonts w:ascii="Century Gothic" w:cs="Century Gothic" w:eastAsia="Century Gothic" w:hAnsi="Century Gothic"/>
          <w:sz w:val="24"/>
          <w:szCs w:val="24"/>
          <w:rtl w:val="0"/>
        </w:rPr>
        <w:t xml:space="preserve"> Hebrew Construct Phrases with “Daughter” and “Virgin” as Nomen Regens. Berlin, Boston: Walter De Grüyter Gmbh, 2013.</w:t>
      </w:r>
    </w:p>
    <w:p w:rsidR="00000000" w:rsidDel="00000000" w:rsidP="00000000" w:rsidRDefault="00000000" w:rsidRPr="00000000" w14:paraId="00000106">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KRAMER, Samuel N. </w:t>
      </w:r>
      <w:r w:rsidDel="00000000" w:rsidR="00000000" w:rsidRPr="00000000">
        <w:rPr>
          <w:rFonts w:ascii="Century Gothic" w:cs="Century Gothic" w:eastAsia="Century Gothic" w:hAnsi="Century Gothic"/>
          <w:b w:val="1"/>
          <w:sz w:val="24"/>
          <w:szCs w:val="24"/>
          <w:rtl w:val="0"/>
        </w:rPr>
        <w:t xml:space="preserve">Lamentation over the Destruction of Ur.</w:t>
      </w:r>
      <w:r w:rsidDel="00000000" w:rsidR="00000000" w:rsidRPr="00000000">
        <w:rPr>
          <w:rFonts w:ascii="Century Gothic" w:cs="Century Gothic" w:eastAsia="Century Gothic" w:hAnsi="Century Gothic"/>
          <w:sz w:val="24"/>
          <w:szCs w:val="24"/>
          <w:rtl w:val="0"/>
        </w:rPr>
        <w:t xml:space="preserve"> Assyriological Studies 12. Chicago: The University of Chicago Press, 1940.</w:t>
      </w:r>
    </w:p>
    <w:p w:rsidR="00000000" w:rsidDel="00000000" w:rsidP="00000000" w:rsidRDefault="00000000" w:rsidRPr="00000000" w14:paraId="00000107">
      <w:pPr>
        <w:spacing w:after="288" w:line="360" w:lineRule="auto"/>
        <w:jc w:val="both"/>
        <w:rPr>
          <w:rFonts w:ascii="Century Gothic" w:cs="Century Gothic" w:eastAsia="Century Gothic" w:hAnsi="Century Gothic"/>
          <w:sz w:val="24"/>
          <w:szCs w:val="24"/>
        </w:rPr>
      </w:pPr>
      <w:bookmarkStart w:colFirst="0" w:colLast="0" w:name="_heading=h.2et92p0" w:id="4"/>
      <w:bookmarkEnd w:id="4"/>
      <w:r w:rsidDel="00000000" w:rsidR="00000000" w:rsidRPr="00000000">
        <w:rPr>
          <w:rFonts w:ascii="Century Gothic" w:cs="Century Gothic" w:eastAsia="Century Gothic" w:hAnsi="Century Gothic"/>
          <w:sz w:val="24"/>
          <w:szCs w:val="24"/>
          <w:rtl w:val="0"/>
        </w:rPr>
        <w:t xml:space="preserve">LAMBERT, W. G. A Neo-Babylonian Tammuz Lament. </w:t>
      </w:r>
      <w:r w:rsidDel="00000000" w:rsidR="00000000" w:rsidRPr="00000000">
        <w:rPr>
          <w:rFonts w:ascii="Century Gothic" w:cs="Century Gothic" w:eastAsia="Century Gothic" w:hAnsi="Century Gothic"/>
          <w:b w:val="1"/>
          <w:sz w:val="24"/>
          <w:szCs w:val="24"/>
          <w:rtl w:val="0"/>
        </w:rPr>
        <w:t xml:space="preserve">Journal of the American Oriental Society</w:t>
      </w:r>
      <w:r w:rsidDel="00000000" w:rsidR="00000000" w:rsidRPr="00000000">
        <w:rPr>
          <w:rFonts w:ascii="Century Gothic" w:cs="Century Gothic" w:eastAsia="Century Gothic" w:hAnsi="Century Gothic"/>
          <w:sz w:val="24"/>
          <w:szCs w:val="24"/>
          <w:rtl w:val="0"/>
        </w:rPr>
        <w:t xml:space="preserve">, Vol. 103, N. 1, Studies in Literature from the Ancient Near East, by Members of the American Oriental Society, Dedicated to Samuel Noah Kramer. Jan.-Mar. 1983, pp. 211-215.</w:t>
      </w:r>
    </w:p>
    <w:p w:rsidR="00000000" w:rsidDel="00000000" w:rsidP="00000000" w:rsidRDefault="00000000" w:rsidRPr="00000000" w14:paraId="00000108">
      <w:pPr>
        <w:spacing w:after="280" w:before="240"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MAZAR, Amihai. </w:t>
      </w:r>
      <w:r w:rsidDel="00000000" w:rsidR="00000000" w:rsidRPr="00000000">
        <w:rPr>
          <w:rFonts w:ascii="Century Gothic" w:cs="Century Gothic" w:eastAsia="Century Gothic" w:hAnsi="Century Gothic"/>
          <w:b w:val="1"/>
          <w:sz w:val="24"/>
          <w:szCs w:val="24"/>
          <w:rtl w:val="0"/>
        </w:rPr>
        <w:t xml:space="preserve">Arqueologia na Terra da Bíblia 10.000-586 a.C. </w:t>
      </w:r>
      <w:r w:rsidDel="00000000" w:rsidR="00000000" w:rsidRPr="00000000">
        <w:rPr>
          <w:rFonts w:ascii="Century Gothic" w:cs="Century Gothic" w:eastAsia="Century Gothic" w:hAnsi="Century Gothic"/>
          <w:sz w:val="24"/>
          <w:szCs w:val="24"/>
          <w:rtl w:val="0"/>
        </w:rPr>
        <w:t xml:space="preserve">São Paulo: Paulinas, 2003, p. 416.</w:t>
      </w:r>
    </w:p>
    <w:p w:rsidR="00000000" w:rsidDel="00000000" w:rsidP="00000000" w:rsidRDefault="00000000" w:rsidRPr="00000000" w14:paraId="00000109">
      <w:pPr>
        <w:spacing w:after="280" w:before="240"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REINER, Erica (Ed.). A Sumero-Akkadian Hymn of Naná. </w:t>
      </w:r>
      <w:r w:rsidDel="00000000" w:rsidR="00000000" w:rsidRPr="00000000">
        <w:rPr>
          <w:rFonts w:ascii="Century Gothic" w:cs="Century Gothic" w:eastAsia="Century Gothic" w:hAnsi="Century Gothic"/>
          <w:b w:val="1"/>
          <w:sz w:val="24"/>
          <w:szCs w:val="24"/>
          <w:rtl w:val="0"/>
        </w:rPr>
        <w:t xml:space="preserve">Journal of Near Eastern Studies (JNES) </w:t>
      </w:r>
      <w:r w:rsidDel="00000000" w:rsidR="00000000" w:rsidRPr="00000000">
        <w:rPr>
          <w:rFonts w:ascii="Century Gothic" w:cs="Century Gothic" w:eastAsia="Century Gothic" w:hAnsi="Century Gothic"/>
          <w:sz w:val="24"/>
          <w:szCs w:val="24"/>
          <w:rtl w:val="0"/>
        </w:rPr>
        <w:t xml:space="preserve">33, 1974, p. 221-236.</w:t>
      </w:r>
    </w:p>
    <w:p w:rsidR="00000000" w:rsidDel="00000000" w:rsidP="00000000" w:rsidRDefault="00000000" w:rsidRPr="00000000" w14:paraId="0000010A">
      <w:pPr>
        <w:spacing w:after="288" w:line="3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RUSSAW, Kimberly D. </w:t>
      </w:r>
      <w:r w:rsidDel="00000000" w:rsidR="00000000" w:rsidRPr="00000000">
        <w:rPr>
          <w:rFonts w:ascii="Century Gothic" w:cs="Century Gothic" w:eastAsia="Century Gothic" w:hAnsi="Century Gothic"/>
          <w:b w:val="1"/>
          <w:sz w:val="24"/>
          <w:szCs w:val="24"/>
          <w:rtl w:val="0"/>
        </w:rPr>
        <w:t xml:space="preserve">Daddy’s Little Girls?</w:t>
      </w:r>
      <w:r w:rsidDel="00000000" w:rsidR="00000000" w:rsidRPr="00000000">
        <w:rPr>
          <w:rFonts w:ascii="Century Gothic" w:cs="Century Gothic" w:eastAsia="Century Gothic" w:hAnsi="Century Gothic"/>
          <w:sz w:val="24"/>
          <w:szCs w:val="24"/>
          <w:rtl w:val="0"/>
        </w:rPr>
        <w:t xml:space="preserve"> An Examination Of Daughters In The Hebrew Bible. Nashville, Tennessee: Vanderbilt University, 2016.</w:t>
      </w:r>
    </w:p>
    <w:p w:rsidR="00000000" w:rsidDel="00000000" w:rsidP="00000000" w:rsidRDefault="00000000" w:rsidRPr="00000000" w14:paraId="0000010B">
      <w:pPr>
        <w:spacing w:after="288" w:line="360" w:lineRule="auto"/>
        <w:jc w:val="both"/>
        <w:rPr/>
      </w:pPr>
      <w:r w:rsidDel="00000000" w:rsidR="00000000" w:rsidRPr="00000000">
        <w:rPr>
          <w:rFonts w:ascii="Century Gothic" w:cs="Century Gothic" w:eastAsia="Century Gothic" w:hAnsi="Century Gothic"/>
          <w:sz w:val="24"/>
          <w:szCs w:val="24"/>
          <w:rtl w:val="0"/>
        </w:rPr>
        <w:t xml:space="preserve">STRONG, James. </w:t>
      </w:r>
      <w:r w:rsidDel="00000000" w:rsidR="00000000" w:rsidRPr="00000000">
        <w:rPr>
          <w:rFonts w:ascii="Century Gothic" w:cs="Century Gothic" w:eastAsia="Century Gothic" w:hAnsi="Century Gothic"/>
          <w:b w:val="1"/>
          <w:sz w:val="24"/>
          <w:szCs w:val="24"/>
          <w:rtl w:val="0"/>
        </w:rPr>
        <w:t xml:space="preserve">Léxico hebraico, aramaico e grego de Strong.</w:t>
      </w:r>
      <w:r w:rsidDel="00000000" w:rsidR="00000000" w:rsidRPr="00000000">
        <w:rPr>
          <w:rFonts w:ascii="Century Gothic" w:cs="Century Gothic" w:eastAsia="Century Gothic" w:hAnsi="Century Gothic"/>
          <w:sz w:val="24"/>
          <w:szCs w:val="24"/>
          <w:rtl w:val="0"/>
        </w:rPr>
        <w:t xml:space="preserve"> Barueri: Sociedade Bíblica do Brasil, 2002; 2005.</w:t>
      </w:r>
      <w:r w:rsidDel="00000000" w:rsidR="00000000" w:rsidRPr="00000000">
        <w:rPr>
          <w:rtl w:val="0"/>
        </w:rPr>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veat">
    <w:embedRegular w:fontKey="{00000000-0000-0000-0000-000000000000}" r:id="rId1" w:subsetted="0"/>
    <w:embedBold w:fontKey="{00000000-0000-0000-0000-000000000000}" r:id="rId2" w:subsetted="0"/>
  </w:font>
  <w:font w:name="Bookman Old Style"/>
  <w:font w:name="Tahoma">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127000</wp:posOffset>
              </wp:positionV>
              <wp:extent cx="418465" cy="552450"/>
              <wp:effectExtent b="0" l="0" r="0" t="0"/>
              <wp:wrapNone/>
              <wp:docPr id="172" name=""/>
              <a:graphic>
                <a:graphicData uri="http://schemas.microsoft.com/office/word/2010/wordprocessingGroup">
                  <wpg:wgp>
                    <wpg:cNvGrpSpPr/>
                    <wpg:grpSpPr>
                      <a:xfrm>
                        <a:off x="5136768" y="3503775"/>
                        <a:ext cx="418465" cy="552450"/>
                        <a:chOff x="5136768" y="3503775"/>
                        <a:chExt cx="418465" cy="552450"/>
                      </a:xfrm>
                    </wpg:grpSpPr>
                    <wpg:grpSp>
                      <wpg:cNvGrpSpPr/>
                      <wpg:grpSpPr>
                        <a:xfrm>
                          <a:off x="5136768" y="3503775"/>
                          <a:ext cx="418465" cy="552450"/>
                          <a:chOff x="626" y="14837"/>
                          <a:chExt cx="659" cy="870"/>
                        </a:xfrm>
                      </wpg:grpSpPr>
                      <wps:wsp>
                        <wps:cNvSpPr/>
                        <wps:cNvPr id="3" name="Shape 3"/>
                        <wps:spPr>
                          <a:xfrm>
                            <a:off x="626" y="14837"/>
                            <a:ext cx="650"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716" y="15087"/>
                            <a:ext cx="512" cy="465"/>
                          </a:xfrm>
                          <a:prstGeom prst="rect">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726" y="15633"/>
                            <a:ext cx="512" cy="74"/>
                          </a:xfrm>
                          <a:prstGeom prst="rect">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26" y="14837"/>
                            <a:ext cx="659" cy="69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entury Gothic" w:cs="Century Gothic" w:eastAsia="Century Gothic" w:hAnsi="Century Gothic"/>
                                  <w:b w:val="0"/>
                                  <w:i w:val="0"/>
                                  <w:smallCaps w:val="0"/>
                                  <w:strike w:val="0"/>
                                  <w:color w:val="ffffff"/>
                                  <w:sz w:val="26"/>
                                  <w:vertAlign w:val="baseline"/>
                                </w:rPr>
                                <w:t xml:space="preserve">PAGE    \* MERGEFORMAT</w:t>
                              </w:r>
                              <w:r w:rsidDel="00000000" w:rsidR="00000000" w:rsidRPr="00000000">
                                <w:rPr>
                                  <w:rFonts w:ascii="Century Gothic" w:cs="Century Gothic" w:eastAsia="Century Gothic" w:hAnsi="Century Gothic"/>
                                  <w:b w:val="1"/>
                                  <w:i w:val="1"/>
                                  <w:smallCaps w:val="0"/>
                                  <w:strike w:val="0"/>
                                  <w:color w:val="ffffff"/>
                                  <w:sz w:val="26"/>
                                  <w:vertAlign w:val="baseline"/>
                                </w:rPr>
                                <w:t xml:space="preserve">1</w:t>
                              </w:r>
                            </w:p>
                          </w:txbxContent>
                        </wps:txbx>
                        <wps:bodyPr anchorCtr="0" anchor="b" bIns="0" lIns="54850" spcFirstLastPara="1" rIns="5485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127000</wp:posOffset>
              </wp:positionV>
              <wp:extent cx="418465" cy="552450"/>
              <wp:effectExtent b="0" l="0" r="0" t="0"/>
              <wp:wrapNone/>
              <wp:docPr id="17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18465" cy="552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24673" cy="318284"/>
              <wp:effectExtent b="0" l="0" r="0" t="0"/>
              <wp:wrapNone/>
              <wp:docPr id="174" name=""/>
              <a:graphic>
                <a:graphicData uri="http://schemas.microsoft.com/office/word/2010/wordprocessingShape">
                  <wps:wsp>
                    <wps:cNvSpPr/>
                    <wps:cNvPr id="16" name="Shape 16"/>
                    <wps:spPr>
                      <a:xfrm>
                        <a:off x="2638426" y="3625621"/>
                        <a:ext cx="5415148" cy="308759"/>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20"/>
                              <w:vertAlign w:val="baseline"/>
                            </w:rPr>
                            <w:t xml:space="preserve">Mythos. </w:t>
                          </w:r>
                          <w:r w:rsidDel="00000000" w:rsidR="00000000" w:rsidRPr="00000000">
                            <w:rPr>
                              <w:rFonts w:ascii="Century Gothic" w:cs="Century Gothic" w:eastAsia="Century Gothic" w:hAnsi="Century Gothic"/>
                              <w:b w:val="1"/>
                              <w:i w:val="0"/>
                              <w:smallCaps w:val="0"/>
                              <w:strike w:val="0"/>
                              <w:color w:val="000000"/>
                              <w:sz w:val="20"/>
                              <w:vertAlign w:val="baseline"/>
                            </w:rPr>
                            <w:t xml:space="preserve">Ano V, Número III, Imperatriz - MA, Jul. – Set., 2021 (ISSN 2527-0621)</w:t>
                          </w:r>
                        </w:p>
                      </w:txbxContent>
                    </wps:txbx>
                    <wps:bodyPr anchorCtr="0" anchor="ctr" bIns="0" lIns="54850" spcFirstLastPara="1" rIns="5485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24673" cy="318284"/>
              <wp:effectExtent b="0" l="0" r="0" t="0"/>
              <wp:wrapNone/>
              <wp:docPr id="174"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5424673" cy="3182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342900</wp:posOffset>
              </wp:positionV>
              <wp:extent cx="5400675" cy="55244"/>
              <wp:effectExtent b="0" l="0" r="0" t="0"/>
              <wp:wrapNone/>
              <wp:docPr id="171" name=""/>
              <a:graphic>
                <a:graphicData uri="http://schemas.microsoft.com/office/word/2010/wordprocessingShape">
                  <wps:wsp>
                    <wps:cNvSpPr/>
                    <wps:cNvPr id="10" name="Shape 10"/>
                    <wps:spPr>
                      <a:xfrm>
                        <a:off x="2650425" y="3757141"/>
                        <a:ext cx="5391150" cy="45719"/>
                      </a:xfrm>
                      <a:prstGeom prst="rect">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342900</wp:posOffset>
              </wp:positionV>
              <wp:extent cx="5400675" cy="55244"/>
              <wp:effectExtent b="0" l="0" r="0" t="0"/>
              <wp:wrapNone/>
              <wp:docPr id="17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400675" cy="55244"/>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20" w:line="240" w:lineRule="auto"/>
        <w:jc w:val="both"/>
        <w:rPr>
          <w:rFonts w:ascii="Century Gothic" w:cs="Century Gothic" w:eastAsia="Century Gothic" w:hAnsi="Century Gothic"/>
          <w:sz w:val="20"/>
          <w:szCs w:val="20"/>
        </w:rPr>
      </w:pPr>
      <w:bookmarkStart w:colFirst="0" w:colLast="0" w:name="_heading=h.tyjcwt" w:id="5"/>
      <w:bookmarkEnd w:id="5"/>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Suzana Chwarts é arqueóloga bíblica e professora livre-docente de Estudos Interdisciplinares da Bíblia Hebraica na Faculdade de Filosofia, Letras e Ciências Humanas da Universidade de São Paulo. ORCID: </w:t>
      </w:r>
      <w:hyperlink r:id="rId1">
        <w:r w:rsidDel="00000000" w:rsidR="00000000" w:rsidRPr="00000000">
          <w:rPr>
            <w:rFonts w:ascii="Century Gothic" w:cs="Century Gothic" w:eastAsia="Century Gothic" w:hAnsi="Century Gothic"/>
            <w:color w:val="000000"/>
            <w:sz w:val="20"/>
            <w:szCs w:val="20"/>
            <w:u w:val="single"/>
            <w:rtl w:val="0"/>
          </w:rPr>
          <w:t xml:space="preserve">https://orcid.org/0000-0002-7473-9348</w:t>
        </w:r>
      </w:hyperlink>
      <w:r w:rsidDel="00000000" w:rsidR="00000000" w:rsidRPr="00000000">
        <w:rPr>
          <w:rFonts w:ascii="Century Gothic" w:cs="Century Gothic" w:eastAsia="Century Gothic" w:hAnsi="Century Gothic"/>
          <w:sz w:val="20"/>
          <w:szCs w:val="20"/>
          <w:rtl w:val="0"/>
        </w:rPr>
        <w:t xml:space="preserve">. E-mail: </w:t>
      </w:r>
      <w:hyperlink r:id="rId2">
        <w:r w:rsidDel="00000000" w:rsidR="00000000" w:rsidRPr="00000000">
          <w:rPr>
            <w:rFonts w:ascii="Century Gothic" w:cs="Century Gothic" w:eastAsia="Century Gothic" w:hAnsi="Century Gothic"/>
            <w:color w:val="000000"/>
            <w:sz w:val="20"/>
            <w:szCs w:val="20"/>
            <w:u w:val="single"/>
            <w:rtl w:val="0"/>
          </w:rPr>
          <w:t xml:space="preserve">schwarts@usp.br</w:t>
        </w:r>
      </w:hyperlink>
      <w:r w:rsidDel="00000000" w:rsidR="00000000" w:rsidRPr="00000000">
        <w:rPr>
          <w:rFonts w:ascii="Century Gothic" w:cs="Century Gothic" w:eastAsia="Century Gothic" w:hAnsi="Century Gothic"/>
          <w:sz w:val="20"/>
          <w:szCs w:val="20"/>
          <w:rtl w:val="0"/>
        </w:rPr>
        <w:t xml:space="preserve">. </w:t>
      </w:r>
    </w:p>
  </w:footnote>
  <w:footnote w:id="1">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120" w:line="240" w:lineRule="auto"/>
        <w:jc w:val="both"/>
        <w:rPr>
          <w:rFonts w:ascii="Century Gothic" w:cs="Century Gothic" w:eastAsia="Century Gothic" w:hAnsi="Century Gothic"/>
          <w:sz w:val="20"/>
          <w:szCs w:val="20"/>
        </w:rPr>
      </w:pPr>
      <w:bookmarkStart w:colFirst="0" w:colLast="0" w:name="_heading=h.3dy6vkm" w:id="6"/>
      <w:bookmarkEnd w:id="6"/>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Quéfren de Moura é doutoranda do curso de Pós-graduação em Letras Estrangeiras e Tradução da Faculdade de Filosofia, Letras e Ciências Humanas da Universidade de São Paulo. Pesquisa o tema da mulher na Bíblia Hebraica, sob orientação da Prof.ª Dr.ª Suzana Chwarts. ORCID: </w:t>
      </w:r>
      <w:hyperlink r:id="rId3">
        <w:r w:rsidDel="00000000" w:rsidR="00000000" w:rsidRPr="00000000">
          <w:rPr>
            <w:rFonts w:ascii="Century Gothic" w:cs="Century Gothic" w:eastAsia="Century Gothic" w:hAnsi="Century Gothic"/>
            <w:color w:val="000000"/>
            <w:sz w:val="20"/>
            <w:szCs w:val="20"/>
            <w:u w:val="single"/>
            <w:rtl w:val="0"/>
          </w:rPr>
          <w:t xml:space="preserve">https://orcid.org/0000-0002-4387-7668</w:t>
        </w:r>
      </w:hyperlink>
      <w:r w:rsidDel="00000000" w:rsidR="00000000" w:rsidRPr="00000000">
        <w:rPr>
          <w:rFonts w:ascii="Century Gothic" w:cs="Century Gothic" w:eastAsia="Century Gothic" w:hAnsi="Century Gothic"/>
          <w:sz w:val="20"/>
          <w:szCs w:val="20"/>
          <w:rtl w:val="0"/>
        </w:rPr>
        <w:t xml:space="preserve">. E-mail: </w:t>
      </w:r>
      <w:hyperlink r:id="rId4">
        <w:r w:rsidDel="00000000" w:rsidR="00000000" w:rsidRPr="00000000">
          <w:rPr>
            <w:rFonts w:ascii="Century Gothic" w:cs="Century Gothic" w:eastAsia="Century Gothic" w:hAnsi="Century Gothic"/>
            <w:color w:val="000000"/>
            <w:sz w:val="20"/>
            <w:szCs w:val="20"/>
            <w:u w:val="single"/>
            <w:rtl w:val="0"/>
          </w:rPr>
          <w:t xml:space="preserve">quefren@usp.br</w:t>
        </w:r>
      </w:hyperlink>
      <w:r w:rsidDel="00000000" w:rsidR="00000000" w:rsidRPr="00000000">
        <w:rPr>
          <w:rFonts w:ascii="Century Gothic" w:cs="Century Gothic" w:eastAsia="Century Gothic" w:hAnsi="Century Gothic"/>
          <w:sz w:val="20"/>
          <w:szCs w:val="20"/>
          <w:rtl w:val="0"/>
        </w:rPr>
        <w:t xml:space="preserve">. </w:t>
      </w:r>
    </w:p>
  </w:footnote>
  <w:footnote w:id="2">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Tradução nossa. Algumas passagens da Bíblia Hebraica foram traduzidas pelas autoras a partir do texto hebraico massorético, disponível na edição da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Biblia Hebraica Stuttgartensia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(Barueri: Sociedade Bíblica do Brasil, 2019), como indicado ao longo do artigo. Outras citações bíblicas foram extraídas da Bíblia na tradução Nova Almeida Atualizada (Barueri: Sociedade Bíblica do Brasil, 2017). A transliteração de vocábulos foi simplificada, a fim de propiciar a boa compreensão de sua pronúncia pelos leitores. Esse interesse orienta a forma como estão grafados e acentuados os termos transliterados. Seguindo as convenções da transliteração, os fonemas kh e ch devem ser pronunciados como o caractere j do espanhol ou como o dígrafo ch do alemão.</w:t>
      </w:r>
    </w:p>
  </w:footnote>
  <w:footnote w:id="3">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 termo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beit av</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(“casa do pai”, em hebraico) designa o núcleo familiar na Bíblia Hebraica. A família estendida é também padrão na Mesopotâmia. Nas cartas de Mari, do século 18 A.E.C., é designada pela expressão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bit abim</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beit av</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é patriarcal, patrilinear e patrilocal, e se estrutura a partir de laços de consanguinidade e afinidade. Ele inclui pai, mãe, filhos e filhas não casados, filhos casados com suas esposas e filhos, viúvas e órfãos aparentados, servos, escravos e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gerím</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(estrangeiros) sob a proteção do patriarca (CHWARTS, S. Família e clã nas narrativas patriarcais e na literatura profética: um breve comentário.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Cadernos de Língua e Literatura Hebraica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14, 2016, p. 130-131).</w:t>
      </w:r>
    </w:p>
  </w:footnote>
  <w:footnote w:id="4">
    <w:p w:rsidR="00000000" w:rsidDel="00000000" w:rsidP="00000000" w:rsidRDefault="00000000" w:rsidRPr="00000000" w14:paraId="00000110">
      <w:pPr>
        <w:spacing w:after="120" w:line="240" w:lineRule="auto"/>
        <w:jc w:val="both"/>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Quanto à tradição de chamar às cidades “filhas”, o arqueólogo Amihai Mazar, em sua análise da ocupação das aldeias rurais em Judá, assinala que “na vizinhança das cidades, havia fazendas isoladas e grupos de edifícios conhecidos na Bíblia como as ‘filhas’ das cidades ou </w:t>
      </w:r>
      <w:r w:rsidDel="00000000" w:rsidR="00000000" w:rsidRPr="00000000">
        <w:rPr>
          <w:rFonts w:ascii="Century Gothic" w:cs="Century Gothic" w:eastAsia="Century Gothic" w:hAnsi="Century Gothic"/>
          <w:i w:val="1"/>
          <w:sz w:val="20"/>
          <w:szCs w:val="20"/>
          <w:rtl w:val="0"/>
        </w:rPr>
        <w:t xml:space="preserve">hatzerim</w:t>
      </w:r>
      <w:r w:rsidDel="00000000" w:rsidR="00000000" w:rsidRPr="00000000">
        <w:rPr>
          <w:rFonts w:ascii="Century Gothic" w:cs="Century Gothic" w:eastAsia="Century Gothic" w:hAnsi="Century Gothic"/>
          <w:sz w:val="20"/>
          <w:szCs w:val="20"/>
          <w:rtl w:val="0"/>
        </w:rPr>
        <w:t xml:space="preserve"> (granjas). Estas últimas serviam também de moradia para fazendeiros, mas seu número era limitado e aparentemente a maioria destes habitavam nas cidades" (MAZAR, Amihai. </w:t>
      </w:r>
      <w:r w:rsidDel="00000000" w:rsidR="00000000" w:rsidRPr="00000000">
        <w:rPr>
          <w:rFonts w:ascii="Century Gothic" w:cs="Century Gothic" w:eastAsia="Century Gothic" w:hAnsi="Century Gothic"/>
          <w:b w:val="1"/>
          <w:sz w:val="20"/>
          <w:szCs w:val="20"/>
          <w:rtl w:val="0"/>
        </w:rPr>
        <w:t xml:space="preserve">Arqueologia na Terra da Bíblia — 10.000-586 a.C. </w:t>
      </w:r>
      <w:r w:rsidDel="00000000" w:rsidR="00000000" w:rsidRPr="00000000">
        <w:rPr>
          <w:rFonts w:ascii="Century Gothic" w:cs="Century Gothic" w:eastAsia="Century Gothic" w:hAnsi="Century Gothic"/>
          <w:sz w:val="20"/>
          <w:szCs w:val="20"/>
          <w:rtl w:val="0"/>
        </w:rPr>
        <w:t xml:space="preserve">São Paulo: Paulinas, 2003, p. 416).</w:t>
      </w:r>
    </w:p>
  </w:footnote>
  <w:footnote w:id="5">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KRAMER, S. N.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Lamentation over the Destruction of Ur.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Assyriological Studies 12. Chicago: The University of Chicago Press, 1940.</w:t>
      </w:r>
      <w:r w:rsidDel="00000000" w:rsidR="00000000" w:rsidRPr="00000000">
        <w:rPr>
          <w:rtl w:val="0"/>
        </w:rPr>
      </w:r>
    </w:p>
  </w:footnote>
  <w:footnote w:id="6">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REINER, E. (Ed.). A Sumero-Akkadian Hymn of Naná.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JNES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33, 1974, p. 221-236.</w:t>
      </w:r>
      <w:r w:rsidDel="00000000" w:rsidR="00000000" w:rsidRPr="00000000">
        <w:rPr>
          <w:rtl w:val="0"/>
        </w:rPr>
      </w:r>
    </w:p>
  </w:footnote>
  <w:footnote w:id="7">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120" w:line="240" w:lineRule="auto"/>
        <w:jc w:val="both"/>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LAMBERT, W. G. (Ed.). A Neo-Babylonian Tammuz Lament. </w:t>
      </w:r>
      <w:r w:rsidDel="00000000" w:rsidR="00000000" w:rsidRPr="00000000">
        <w:rPr>
          <w:rFonts w:ascii="Century Gothic" w:cs="Century Gothic" w:eastAsia="Century Gothic" w:hAnsi="Century Gothic"/>
          <w:b w:val="1"/>
          <w:sz w:val="20"/>
          <w:szCs w:val="20"/>
          <w:rtl w:val="0"/>
        </w:rPr>
        <w:t xml:space="preserve">Journal of the American Oriental Society</w:t>
      </w:r>
      <w:r w:rsidDel="00000000" w:rsidR="00000000" w:rsidRPr="00000000">
        <w:rPr>
          <w:rFonts w:ascii="Century Gothic" w:cs="Century Gothic" w:eastAsia="Century Gothic" w:hAnsi="Century Gothic"/>
          <w:sz w:val="20"/>
          <w:szCs w:val="20"/>
          <w:rtl w:val="0"/>
        </w:rPr>
        <w:t xml:space="preserve">, Vol. 103, N. 1, Studies in Literature from the Ancient Near East, by Members of the American Oriental Society, Dedicated to Samuel Noah Kramer. Jan.-Mar. 1983, p. 211-215.</w:t>
      </w:r>
    </w:p>
  </w:footnote>
  <w:footnote w:id="8">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 palavra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bat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 hebraico é um substantivo (“filha”); já as expressões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bat-tsion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bat-yerushalaim</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são cadeias constructas, formadas pela justaposição de dois substantivos. No constructo plural,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bnot tsion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bnot yerushalaim</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ocorre uma modificação vocálica, de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banot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para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bnot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footnote>
  <w:footnote w:id="9">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120" w:line="240" w:lineRule="auto"/>
        <w:jc w:val="both"/>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Ou seja, relacionado a um lugar, povo, cidade etc. Dentre as expressões, além de “filha de Sião”, encontram-se, “filha de Jerusalém”, “filha de Tiro”, “filha de Galim”, “filha de Társis”, “filha de Sidom”, “filha de Babilônia”, “filha de Dibom”, “filha de Judá”, “filha de Edom”, “filha dos caldeus”, “filha do Egito”, e também “filha de tropas”, “filha do meu povo” e “filha da minha dispersão”.</w:t>
      </w:r>
    </w:p>
  </w:footnote>
  <w:footnote w:id="10">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120" w:line="240" w:lineRule="auto"/>
        <w:jc w:val="both"/>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Em 2Rs 19.21; Sl 9.14; Is 1.8; 10.32; 16.1; 37.22; 52.2; 62.11; Jr 4.31; 6.2; 6.22-23; Lm 1.6; 2.1; 2.4; 2.8; 2.10; 2.13; 2.18; 4.22; Mq 1.13; 4.8; 4.10; 4.13; Sf 3.14; Zc 2.10; 9.9. </w:t>
      </w:r>
    </w:p>
  </w:footnote>
  <w:footnote w:id="11">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Segundo o léxico de Brown-Drivver-Briggs, a palavra hebraica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betulah</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traduzida aqui por “jovem”, é a moça virgem, a donzela que vive na casa paterna (143.2). O léxico de Strong também aponta para o significado de “virgem”. Nossa tradução, porém, privilegia o fator etário — uma moça, núbil, que zomba de um homem maduro; isso acentua a comicidade da cena, muito mais do que sua suposta virgindade.</w:t>
      </w:r>
    </w:p>
  </w:footnote>
  <w:footnote w:id="12">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Em Salmo 2.1-9, lê-se: “Por que se enfurecem as nações e os povos imaginam coisas vãs? Os reis da terra se levantam, e as autoridades conspiram contra o </w:t>
      </w:r>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Senhor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 contra o seu Ungido, dizendo: ‘Vamos romper os seus laços e sacudir de nós as suas algemas.’ Aquele que habita nos céus dá risada; o Senhor zomba deles. Na sua ira, a seu tempo, lhes falará e no seu furor os deixará apavorados, dizendo: ‘Eu constituí o meu Rei sobre o meu santo monte Sião.’ O rei diz: ‘Proclamarei o decreto do </w:t>
      </w:r>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Senhor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Ele me disse: Você é meu Filho, hoje eu gerei você. Peça, e eu lhe darei as nações por herança e as extremidades da terra por sua possessão. Com uma vara de ferro você as quebrará e as despedaçará como um vaso de oleiro.’” Em Isaías 10.5-7, o profeta anuncia: “Ai da Assíria, cetro da minha ira! A vara em sua mão é o instrumento do meu furor. Eu a envio contra uma nação ímpia, e contra o povo da minha indignação lhe dou ordens, para que dele roube a presa e lhe tome o despojo, e o ponha para ser pisado aos pés, como a lama das ruas.  Ela, porém, assim não pensa, o seu coração não entende assim; pelo contrário, em seu coração só pensa em destruir e exterminar não poucas nações.”</w:t>
      </w:r>
    </w:p>
  </w:footnote>
  <w:footnote w:id="13">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20" w:line="240" w:lineRule="auto"/>
        <w:jc w:val="both"/>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Cf. Sl 14.7; Is 4.4; 8.18; Lm 4.11; Mq 4.1-3.</w:t>
      </w:r>
    </w:p>
  </w:footnote>
  <w:footnote w:id="14">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 texto traz: “O rei Davi partiu com os seus homens para Jerusalém, para atacar os jebuseus que moravam naquela terra. Os jebuseus disseram a Davi: — Você não entrará aqui. Até os cegos e os coxos poderão impedi-lo de entrar. Com isto queriam dizer: “Davi não entrará neste lugar.” Porém Davi tomou a fortaleza de Sião, isto é, a Cidade de Davi. Davi, naquele dia, mandou dizer: — Todo o que está disposto a atacar os jebuseus suba pelo canal subterrâneo e ataque os cegos e os coxos, a quem a alma de Davi odeia. Por isso se diz: “Nem cego nem coxo entrará na casa.” Assim, Davi morou na fortaleza e a chamou de Cidade de Davi. Ele foi edificando ao redor, desde Milo e para dentro. Davi ia crescendo em poder cada vez mais, porque o SENHOR, o Deus dos Exércitos, estava com ele” (2Samuel 5.6-10).</w:t>
      </w:r>
      <w:r w:rsidDel="00000000" w:rsidR="00000000" w:rsidRPr="00000000">
        <w:rPr>
          <w:rtl w:val="0"/>
        </w:rPr>
      </w:r>
    </w:p>
  </w:footnote>
  <w:footnote w:id="15">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Em Isaías 55—56, há, ainda, um desenvolvimento do imaginário feminino de Sião.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Tsion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é, nessa porção textual, uma mãe que dá à luz um novo povo, a estéril tornada fértil, uma mãe amorosa, que abraça e amamenta seus muitos filhos. Nos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midrashim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rabínicos, as histórias das matriarcas foram elencadas, num total de sete mulheres estéreis. Sião é a sétima (Sara, Rebeca, Lia, Raquel, Ana, Hazelelponi, mãe de Sansão, e, por fim, Sião). Bereshit ’Agada (ed. S. Buber; Krakau, 1902;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pereq n b</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p. 106-107); e Pesikat de Rab Kahan (ed. S. buber, 1898,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pereq qm’; pereq ql’</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Citados em CHWARTS, S.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Uma visão da esterilidade na Bíblia Hebraica.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São Paulo: Humanitas, 2004.</w:t>
      </w:r>
      <w:r w:rsidDel="00000000" w:rsidR="00000000" w:rsidRPr="00000000">
        <w:rPr>
          <w:rtl w:val="0"/>
        </w:rPr>
      </w:r>
    </w:p>
  </w:footnote>
  <w:footnote w:id="16">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 cena narrada aqui parece remontar aos acontecimentos de 701 A.E.C., quando os assírios tentaram sitiar a cidade de Jerusalém, mas foram forçados a se retirar, segundo o relato bíblico, devido a algo que precipitou a morte de muitos assírios, como o surto de uma doença ou um outro tipo de desastre (cf. 2Rs 19.35-36).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-215899</wp:posOffset>
              </wp:positionV>
              <wp:extent cx="1719580" cy="1042035"/>
              <wp:effectExtent b="0" l="0" r="0" t="0"/>
              <wp:wrapNone/>
              <wp:docPr id="170" name=""/>
              <a:graphic>
                <a:graphicData uri="http://schemas.microsoft.com/office/word/2010/wordprocessingGroup">
                  <wpg:wgp>
                    <wpg:cNvGrpSpPr/>
                    <wpg:grpSpPr>
                      <a:xfrm>
                        <a:off x="4486210" y="3258983"/>
                        <a:ext cx="1719580" cy="1042035"/>
                        <a:chOff x="4486210" y="3258983"/>
                        <a:chExt cx="1719580" cy="1042035"/>
                      </a:xfrm>
                    </wpg:grpSpPr>
                    <wpg:grpSp>
                      <wpg:cNvGrpSpPr/>
                      <wpg:grpSpPr>
                        <a:xfrm>
                          <a:off x="4486210" y="3258983"/>
                          <a:ext cx="1719580" cy="1042035"/>
                          <a:chOff x="-19053" y="-18677"/>
                          <a:chExt cx="1719837" cy="1042805"/>
                        </a:xfrm>
                      </wpg:grpSpPr>
                      <wps:wsp>
                        <wps:cNvSpPr/>
                        <wps:cNvPr id="3" name="Shape 3"/>
                        <wps:spPr>
                          <a:xfrm>
                            <a:off x="-19053" y="-18677"/>
                            <a:ext cx="1719825" cy="104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1700784" cy="1024128"/>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1463040" cy="1014984"/>
                          </a:xfrm>
                          <a:custGeom>
                            <a:rect b="b" l="l" r="r" t="t"/>
                            <a:pathLst>
                              <a:path extrusionOk="0" h="1014481" w="1462822">
                                <a:moveTo>
                                  <a:pt x="0" y="0"/>
                                </a:moveTo>
                                <a:lnTo>
                                  <a:pt x="1462822" y="0"/>
                                </a:lnTo>
                                <a:lnTo>
                                  <a:pt x="1462822" y="1014481"/>
                                </a:lnTo>
                                <a:lnTo>
                                  <a:pt x="638269" y="407899"/>
                                </a:lnTo>
                                <a:lnTo>
                                  <a:pt x="0" y="0"/>
                                </a:lnTo>
                                <a:close/>
                              </a:path>
                            </a:pathLst>
                          </a:custGeom>
                          <a:solidFill>
                            <a:srgbClr val="0C0C0C"/>
                          </a:solidFill>
                          <a:ln>
                            <a:noFill/>
                          </a:ln>
                        </wps:spPr>
                        <wps:bodyPr anchorCtr="0" anchor="ctr" bIns="91425" lIns="91425" spcFirstLastPara="1" rIns="91425" wrap="square" tIns="91425">
                          <a:noAutofit/>
                        </wps:bodyPr>
                      </wps:wsp>
                      <wps:wsp>
                        <wps:cNvSpPr/>
                        <wps:cNvPr id="9" name="Shape 9"/>
                        <wps:spPr>
                          <a:xfrm>
                            <a:off x="-19053" y="-18677"/>
                            <a:ext cx="1491237" cy="1033660"/>
                          </a:xfrm>
                          <a:prstGeom prst="rect">
                            <a:avLst/>
                          </a:prstGeom>
                          <a:blipFill rotWithShape="1">
                            <a:blip r:embed="rId1">
                              <a:alphaModFix/>
                            </a:blip>
                            <a:stretch>
                              <a:fillRect b="0" l="0" r="0" t="0"/>
                            </a:stretch>
                          </a:blip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-215899</wp:posOffset>
              </wp:positionV>
              <wp:extent cx="1719580" cy="1042035"/>
              <wp:effectExtent b="0" l="0" r="0" t="0"/>
              <wp:wrapNone/>
              <wp:docPr id="17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719580" cy="10420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-337184</wp:posOffset>
          </wp:positionH>
          <wp:positionV relativeFrom="paragraph">
            <wp:posOffset>-171448</wp:posOffset>
          </wp:positionV>
          <wp:extent cx="1295400" cy="955040"/>
          <wp:effectExtent b="38100" l="38100" r="38100" t="38100"/>
          <wp:wrapSquare wrapText="bothSides" distB="0" distT="0" distL="114300" distR="114300"/>
          <wp:docPr id="175" name="image1.jpg"/>
          <a:graphic>
            <a:graphicData uri="http://schemas.openxmlformats.org/drawingml/2006/picture">
              <pic:pic>
                <pic:nvPicPr>
                  <pic:cNvPr id="0" name="image1.jpg"/>
                  <pic:cNvPicPr preferRelativeResize="0"/>
                </pic:nvPicPr>
                <pic:blipFill>
                  <a:blip r:embed="rId3"/>
                  <a:srcRect b="75203" l="53576" r="0" t="354"/>
                  <a:stretch>
                    <a:fillRect/>
                  </a:stretch>
                </pic:blipFill>
                <pic:spPr>
                  <a:xfrm>
                    <a:off x="0" y="0"/>
                    <a:ext cx="1295400" cy="955040"/>
                  </a:xfrm>
                  <a:prstGeom prst="rect"/>
                  <a:ln w="38100">
                    <a:solidFill>
                      <a:srgbClr val="000000"/>
                    </a:solidFill>
                    <a:prstDash val="solid"/>
                  </a:ln>
                </pic:spPr>
              </pic:pic>
            </a:graphicData>
          </a:graphic>
        </wp:anchor>
      </w:drawing>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leftMargin">
                <wp:posOffset>23999</wp:posOffset>
              </wp:positionH>
              <wp:positionV relativeFrom="margin">
                <wp:align>bottom</wp:align>
              </wp:positionV>
              <wp:extent cx="846161" cy="8044508"/>
              <wp:effectExtent b="0" l="0" r="0" t="0"/>
              <wp:wrapNone/>
              <wp:docPr id="169" name=""/>
              <a:graphic>
                <a:graphicData uri="http://schemas.microsoft.com/office/word/2010/wordprocessingGroup">
                  <wpg:wgp>
                    <wpg:cNvGrpSpPr/>
                    <wpg:grpSpPr>
                      <a:xfrm>
                        <a:off x="4922920" y="0"/>
                        <a:ext cx="846161" cy="8044508"/>
                        <a:chOff x="4922920" y="0"/>
                        <a:chExt cx="846161" cy="7560000"/>
                      </a:xfrm>
                    </wpg:grpSpPr>
                    <wpg:grpSp>
                      <wpg:cNvGrpSpPr/>
                      <wpg:grpSpPr>
                        <a:xfrm>
                          <a:off x="4922920" y="0"/>
                          <a:ext cx="846161" cy="7560000"/>
                          <a:chOff x="-152400" y="0"/>
                          <a:chExt cx="609600" cy="8239125"/>
                        </a:xfrm>
                      </wpg:grpSpPr>
                      <wps:wsp>
                        <wps:cNvSpPr/>
                        <wps:cNvPr id="3" name="Shape 3"/>
                        <wps:spPr>
                          <a:xfrm>
                            <a:off x="-152400" y="0"/>
                            <a:ext cx="609600" cy="823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39387" y="0"/>
                            <a:ext cx="17813" cy="8229600"/>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rot="-5400000">
                            <a:off x="-4038600" y="3895725"/>
                            <a:ext cx="8229600" cy="4572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2"/>
                                  <w:vertAlign w:val="baseline"/>
                                </w:rPr>
                                <w:t xml:space="preserve">Mythos – Revista de História Antiga e Medieval</w:t>
                              </w:r>
                            </w:p>
                          </w:txbxContent>
                        </wps:txbx>
                        <wps:bodyPr anchorCtr="0" anchor="b" bIns="137150" lIns="182875" spcFirstLastPara="1" rIns="91425" wrap="square" tIns="45700">
                          <a:noAutofit/>
                        </wps:bodyPr>
                      </wps:wsp>
                    </wpg:grpSp>
                  </wpg:wgp>
                </a:graphicData>
              </a:graphic>
            </wp:anchor>
          </w:drawing>
        </mc:Choice>
        <mc:Fallback>
          <w:drawing>
            <wp:anchor allowOverlap="1" behindDoc="1" distB="0" distT="0" distL="0" distR="0" hidden="0" layoutInCell="1" locked="0" relativeHeight="0" simplePos="0">
              <wp:simplePos x="0" y="0"/>
              <wp:positionH relativeFrom="leftMargin">
                <wp:posOffset>23999</wp:posOffset>
              </wp:positionH>
              <wp:positionV relativeFrom="margin">
                <wp:align>bottom</wp:align>
              </wp:positionV>
              <wp:extent cx="846161" cy="8044508"/>
              <wp:effectExtent b="0" l="0" r="0" t="0"/>
              <wp:wrapNone/>
              <wp:docPr id="169" name="image2.png"/>
              <a:graphic>
                <a:graphicData uri="http://schemas.openxmlformats.org/drawingml/2006/picture">
                  <pic:pic>
                    <pic:nvPicPr>
                      <pic:cNvPr id="0" name="image2.png"/>
                      <pic:cNvPicPr preferRelativeResize="0"/>
                    </pic:nvPicPr>
                    <pic:blipFill>
                      <a:blip r:embed="rId4"/>
                      <a:srcRect/>
                      <a:stretch>
                        <a:fillRect/>
                      </a:stretch>
                    </pic:blipFill>
                    <pic:spPr>
                      <a:xfrm>
                        <a:off x="0" y="0"/>
                        <a:ext cx="846161" cy="8044508"/>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35C33"/>
    <w:rPr>
      <w:rFonts w:ascii="Calibri" w:cs="Calibri" w:eastAsia="Calibri" w:hAnsi="Calibri"/>
      <w:lang w:eastAsia="pt-B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039FE"/>
    <w:pPr>
      <w:tabs>
        <w:tab w:val="center" w:pos="4252"/>
        <w:tab w:val="right" w:pos="8504"/>
      </w:tabs>
      <w:spacing w:after="0" w:line="240" w:lineRule="auto"/>
    </w:pPr>
    <w:rPr>
      <w:rFonts w:asciiTheme="minorHAnsi" w:cstheme="minorBidi" w:eastAsiaTheme="minorHAnsi" w:hAnsiTheme="minorHAnsi"/>
      <w:lang w:eastAsia="en-US"/>
    </w:rPr>
  </w:style>
  <w:style w:type="character" w:styleId="HeaderChar" w:customStyle="1">
    <w:name w:val="Header Char"/>
    <w:basedOn w:val="DefaultParagraphFont"/>
    <w:link w:val="Header"/>
    <w:uiPriority w:val="99"/>
    <w:rsid w:val="00E039FE"/>
  </w:style>
  <w:style w:type="paragraph" w:styleId="Footer">
    <w:name w:val="footer"/>
    <w:basedOn w:val="Normal"/>
    <w:link w:val="FooterChar"/>
    <w:uiPriority w:val="99"/>
    <w:unhideWhenUsed w:val="1"/>
    <w:rsid w:val="00E039FE"/>
    <w:pPr>
      <w:tabs>
        <w:tab w:val="center" w:pos="4252"/>
        <w:tab w:val="right" w:pos="8504"/>
      </w:tabs>
      <w:spacing w:after="0" w:line="240" w:lineRule="auto"/>
    </w:pPr>
    <w:rPr>
      <w:rFonts w:asciiTheme="minorHAnsi" w:cstheme="minorBidi" w:eastAsiaTheme="minorHAnsi" w:hAnsiTheme="minorHAnsi"/>
      <w:lang w:eastAsia="en-US"/>
    </w:rPr>
  </w:style>
  <w:style w:type="character" w:styleId="FooterChar" w:customStyle="1">
    <w:name w:val="Footer Char"/>
    <w:basedOn w:val="DefaultParagraphFont"/>
    <w:link w:val="Footer"/>
    <w:uiPriority w:val="99"/>
    <w:rsid w:val="00E039FE"/>
  </w:style>
  <w:style w:type="character" w:styleId="Hyperlink">
    <w:name w:val="Hyperlink"/>
    <w:basedOn w:val="DefaultParagraphFont"/>
    <w:uiPriority w:val="99"/>
    <w:unhideWhenUsed w:val="1"/>
    <w:rsid w:val="00E039FE"/>
    <w:rPr>
      <w:color w:val="0563c1" w:themeColor="hyperlink"/>
      <w:u w:val="single"/>
    </w:rPr>
  </w:style>
  <w:style w:type="paragraph" w:styleId="ListParagraph">
    <w:name w:val="List Paragraph"/>
    <w:basedOn w:val="Normal"/>
    <w:uiPriority w:val="34"/>
    <w:qFormat w:val="1"/>
    <w:rsid w:val="00E039FE"/>
    <w:pPr>
      <w:ind w:left="720"/>
      <w:contextualSpacing w:val="1"/>
    </w:pPr>
    <w:rPr>
      <w:rFonts w:asciiTheme="minorHAnsi" w:cstheme="minorBidi" w:eastAsiaTheme="minorHAnsi" w:hAnsiTheme="minorHAnsi"/>
      <w:lang w:eastAsia="en-US"/>
    </w:rPr>
  </w:style>
  <w:style w:type="character" w:styleId="CommentReference">
    <w:name w:val="annotation reference"/>
    <w:basedOn w:val="DefaultParagraphFont"/>
    <w:uiPriority w:val="99"/>
    <w:semiHidden w:val="1"/>
    <w:unhideWhenUsed w:val="1"/>
    <w:rsid w:val="0055036F"/>
    <w:rPr>
      <w:sz w:val="16"/>
      <w:szCs w:val="16"/>
    </w:rPr>
  </w:style>
  <w:style w:type="paragraph" w:styleId="CommentText">
    <w:name w:val="annotation text"/>
    <w:basedOn w:val="Normal"/>
    <w:link w:val="CommentTextChar"/>
    <w:uiPriority w:val="99"/>
    <w:semiHidden w:val="1"/>
    <w:unhideWhenUsed w:val="1"/>
    <w:rsid w:val="0055036F"/>
    <w:pPr>
      <w:spacing w:line="240" w:lineRule="auto"/>
    </w:pPr>
    <w:rPr>
      <w:sz w:val="20"/>
      <w:szCs w:val="20"/>
    </w:rPr>
  </w:style>
  <w:style w:type="character" w:styleId="CommentTextChar" w:customStyle="1">
    <w:name w:val="Comment Text Char"/>
    <w:basedOn w:val="DefaultParagraphFont"/>
    <w:link w:val="CommentText"/>
    <w:uiPriority w:val="99"/>
    <w:semiHidden w:val="1"/>
    <w:rsid w:val="0055036F"/>
    <w:rPr>
      <w:sz w:val="20"/>
      <w:szCs w:val="20"/>
    </w:rPr>
  </w:style>
  <w:style w:type="paragraph" w:styleId="CommentSubject">
    <w:name w:val="annotation subject"/>
    <w:basedOn w:val="CommentText"/>
    <w:next w:val="CommentText"/>
    <w:link w:val="CommentSubjectChar"/>
    <w:uiPriority w:val="99"/>
    <w:semiHidden w:val="1"/>
    <w:unhideWhenUsed w:val="1"/>
    <w:rsid w:val="0055036F"/>
    <w:rPr>
      <w:b w:val="1"/>
      <w:bCs w:val="1"/>
    </w:rPr>
  </w:style>
  <w:style w:type="character" w:styleId="CommentSubjectChar" w:customStyle="1">
    <w:name w:val="Comment Subject Char"/>
    <w:basedOn w:val="CommentTextChar"/>
    <w:link w:val="CommentSubject"/>
    <w:uiPriority w:val="99"/>
    <w:semiHidden w:val="1"/>
    <w:rsid w:val="0055036F"/>
    <w:rPr>
      <w:b w:val="1"/>
      <w:bCs w:val="1"/>
      <w:sz w:val="20"/>
      <w:szCs w:val="20"/>
    </w:rPr>
  </w:style>
  <w:style w:type="paragraph" w:styleId="FootnoteText">
    <w:name w:val="footnote text"/>
    <w:basedOn w:val="Normal"/>
    <w:link w:val="FootnoteTextChar"/>
    <w:uiPriority w:val="99"/>
    <w:unhideWhenUsed w:val="1"/>
    <w:rsid w:val="00E5734A"/>
    <w:pPr>
      <w:spacing w:after="0" w:line="240" w:lineRule="auto"/>
    </w:pPr>
    <w:rPr>
      <w:rFonts w:asciiTheme="minorHAnsi" w:cstheme="minorBidi" w:eastAsiaTheme="minorHAnsi" w:hAnsiTheme="minorHAnsi"/>
      <w:sz w:val="20"/>
      <w:szCs w:val="20"/>
      <w:lang w:eastAsia="en-US"/>
    </w:rPr>
  </w:style>
  <w:style w:type="character" w:styleId="FootnoteTextChar" w:customStyle="1">
    <w:name w:val="Footnote Text Char"/>
    <w:basedOn w:val="DefaultParagraphFont"/>
    <w:link w:val="FootnoteText"/>
    <w:uiPriority w:val="99"/>
    <w:rsid w:val="00E5734A"/>
    <w:rPr>
      <w:sz w:val="20"/>
      <w:szCs w:val="20"/>
    </w:rPr>
  </w:style>
  <w:style w:type="character" w:styleId="FootnoteReference">
    <w:name w:val="footnote reference"/>
    <w:basedOn w:val="DefaultParagraphFont"/>
    <w:uiPriority w:val="99"/>
    <w:semiHidden w:val="1"/>
    <w:unhideWhenUsed w:val="1"/>
    <w:rsid w:val="00E5734A"/>
    <w:rPr>
      <w:vertAlign w:val="superscript"/>
    </w:rPr>
  </w:style>
  <w:style w:type="table" w:styleId="TableGrid">
    <w:name w:val="Table Grid"/>
    <w:basedOn w:val="TableNormal"/>
    <w:uiPriority w:val="39"/>
    <w:rsid w:val="007A7431"/>
    <w:pPr>
      <w:spacing w:after="0" w:line="240" w:lineRule="auto"/>
    </w:pPr>
    <w:rPr>
      <w:rFonts w:ascii="Times New Roman" w:cs="Times New Roman" w:eastAsia="Times New Roman" w:hAnsi="Times New Roman"/>
      <w:sz w:val="20"/>
      <w:szCs w:val="20"/>
      <w:lang w:bidi="he-IL"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MenoPendente1" w:customStyle="1">
    <w:name w:val="Menção Pendente1"/>
    <w:basedOn w:val="DefaultParagraphFont"/>
    <w:uiPriority w:val="99"/>
    <w:semiHidden w:val="1"/>
    <w:unhideWhenUsed w:val="1"/>
    <w:rsid w:val="00E162BB"/>
    <w:rPr>
      <w:color w:val="605e5c"/>
      <w:shd w:color="auto" w:fill="e1dfdd" w:val="clear"/>
    </w:rPr>
  </w:style>
  <w:style w:type="paragraph" w:styleId="NormalWeb">
    <w:name w:val="Normal (Web)"/>
    <w:basedOn w:val="Normal"/>
    <w:uiPriority w:val="99"/>
    <w:semiHidden w:val="1"/>
    <w:unhideWhenUsed w:val="1"/>
    <w:rsid w:val="00AF1B35"/>
    <w:pPr>
      <w:spacing w:after="100" w:afterAutospacing="1" w:before="100" w:beforeAutospacing="1" w:line="240" w:lineRule="auto"/>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1E075B"/>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1E075B"/>
    <w:rPr>
      <w:rFonts w:ascii="Lucida Grande" w:cs="Lucida Grande" w:eastAsia="Calibri" w:hAnsi="Lucida Grande"/>
      <w:sz w:val="18"/>
      <w:szCs w:val="18"/>
      <w:lang w:eastAsia="pt-BR"/>
    </w:rPr>
  </w:style>
  <w:style w:type="character" w:styleId="UnresolvedMention" w:customStyle="1">
    <w:name w:val="Unresolved Mention"/>
    <w:basedOn w:val="DefaultParagraphFont"/>
    <w:uiPriority w:val="99"/>
    <w:semiHidden w:val="1"/>
    <w:unhideWhenUsed w:val="1"/>
    <w:rsid w:val="003C15F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biblehub.com/bdb/1.htm" TargetMode="External"/><Relationship Id="rId10" Type="http://schemas.openxmlformats.org/officeDocument/2006/relationships/footer" Target="footer1.xml"/><Relationship Id="rId12" Type="http://schemas.openxmlformats.org/officeDocument/2006/relationships/hyperlink" Target="https://www.revistas.usp.br/cllh/article/view/125036" TargetMode="Externa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 Id="rId3"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0-0002-7473-9348" TargetMode="External"/><Relationship Id="rId2" Type="http://schemas.openxmlformats.org/officeDocument/2006/relationships/hyperlink" Target="mailto:schwarts@usp.br" TargetMode="External"/><Relationship Id="rId3" Type="http://schemas.openxmlformats.org/officeDocument/2006/relationships/hyperlink" Target="https://orcid.org/0000-0002-4387-7668" TargetMode="External"/><Relationship Id="rId4" Type="http://schemas.openxmlformats.org/officeDocument/2006/relationships/hyperlink" Target="mailto:quefren@usp.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png"/><Relationship Id="rId3" Type="http://schemas.openxmlformats.org/officeDocument/2006/relationships/image" Target="media/image1.jpg"/><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A+3/qVxi2oV8nEmq10V7DUefOQ==">AMUW2mWfKTcACh4A0Xf2Lv0iKL/WM94OOR/+03RduAc+oULz8MoyitImNbRZi37yZv/Zr9oyG51l1joAGrNmw1hI/aGQoGsNiTFtnb0givgaI9bNZpJ+gRGvJhBYKn6v+nwqns95kAz+P7s1THodIpochDATYyoYUxQdQV5Oz2YHTulpDZr/GM+TlIipXWj0M3JY957LHNxW9XrwmUSKwXX+i5oUWTWOYw==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2021-06-19T01:54:00Z</dcterms:created>
  <dc:creator>Quéfren Moura</dc:creator>
</cp:coreProperties>
</file>