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360" w:lineRule="auto"/>
        <w:ind w:right="-560"/>
        <w:jc w:val="center"/>
        <w:rPr>
          <w:rFonts w:ascii="Calibri" w:cs="Calibri" w:eastAsia="Calibri" w:hAnsi="Calibri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Resolva o seu caso clínico e nos envie a resposta em word.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360" w:lineRule="auto"/>
        <w:ind w:right="-560"/>
        <w:jc w:val="center"/>
        <w:rPr>
          <w:rFonts w:ascii="Calibri" w:cs="Calibri" w:eastAsia="Calibri" w:hAnsi="Calibri"/>
          <w:b w:val="1"/>
          <w:i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highlight w:val="yellow"/>
          <w:rtl w:val="0"/>
        </w:rPr>
        <w:t xml:space="preserve">Se quiserem resolver os demais, fiquem à vontade.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Caso Clínico 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Instabilidade funcional de Tornozelo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 o mecanismo de entorse de tornozelo mais freqüente?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Quais os fatores biomecânicos e cinesiológicos que favorecem essa maior freqüência?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Caso Clínico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Pé Plano  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comum crianças até os 4 anos de idade ter pés planos que desaparecem na vida adulta. Elencar os fatores biomecânicos e cinesiológicos que justificam este fato.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360" w:lineRule="auto"/>
        <w:jc w:val="both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Caso Clínico 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Dedo em garra ou em martelo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Neuropatia Diabética, Artrite Reumatoide e alguns casos de sequela de AVC podem gerar deformidades, tais como dedo em garra. 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Quais alterações posturais ocorrem com o pé com dedos em garra?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360" w:lineRule="auto"/>
        <w:jc w:val="both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Caso Clínico 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Esporão de calcaneo</w:t>
      </w:r>
    </w:p>
    <w:p w:rsidR="00000000" w:rsidDel="00000000" w:rsidP="00000000" w:rsidRDefault="00000000" w:rsidRPr="00000000" w14:paraId="00000013">
      <w:pPr>
        <w:spacing w:line="360" w:lineRule="auto"/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Homem de 35 anos, 1.70m de altura e 80 kg, realizava caminhadas 3X/ semana, 1km/dia. Em um mês adquiriu sobrepeso, pesando atualmente 87kg. Para retornar ao peso anterior, resolveu começar a correr 5X/semana, 3km/dia, sem qualquer orientação e com o mesmo tênis velho que tinha. No final de um mês, começou a sentir dor importante na sola dos pés tendo que abandonar a corrida e procurar um médico. Ao exame físico, apresentou dor à palpação na planta dos pés em região próxima ao calcâneo. Na radiografia não foram observadas fraturas, mas pequenas alterações ósseas no calcâneo na face plantar.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Quais estruturas poderiam estar gerando a dor? Como você explica a dor do paciente?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que poderia ser esta alteração óssea no calcâneo? Por que ela pode ter ocorrido?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