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MASALA CHAI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MASALA CHAI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e ½ xícara de chá de água potável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xícara de chá de leite integral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saquinhos de chá preto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 grãos de pimenta-do-reino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ramas de canela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 semente de cardamomo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 cravos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colher de chá de sementes de erva-doce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colher de sopa de açúcar mascavo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uma faquinha para legumes, corte as pontas e abra as sementes de cardamomo. Transfira as sementes para uma panela pequena e junte todos os ingredientes, exceto o chá preto. Misture e leve ao fogo médio.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ferver, desligue o fogo e adicione os saquinhos de chá preto. Tampe a panela e deixe em infusão por 5 minutos. Coe o chá e transfira para uma chaleira. Sirva a seguir.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9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S1oizO+NB7BPTneJyYrrMScHLA==">AMUW2mVyc7LijfjxXbn0J4U9aSbZDUfM5RfcIZEvz9PZYWfB7giNGJfyi1hJMETFM+k5V15fJ6FvQYYEF9LcHGFPZ1gMj2zJvaJU9/WNfMUdxHqiHHSaEfGlrpkfow8+JNpCGuIL4a97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