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1024B" w14:textId="77777777" w:rsidR="00217F88" w:rsidRPr="00632CE8" w:rsidRDefault="00217F88" w:rsidP="00217F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vertAlign w:val="subscript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Degradação de fenóis de substâncias húmicas contidas em lixiviado de aterro pela fotocatálise heterogênea solar de ZnO-TiO</w:t>
      </w:r>
      <w:r>
        <w:rPr>
          <w:rFonts w:ascii="Times New Roman" w:eastAsia="Times New Roman" w:hAnsi="Times New Roman" w:cs="Times New Roman"/>
          <w:b/>
          <w:sz w:val="30"/>
          <w:szCs w:val="30"/>
          <w:vertAlign w:val="subscript"/>
        </w:rPr>
        <w:t>2</w:t>
      </w:r>
    </w:p>
    <w:p w14:paraId="42F1BC5B" w14:textId="77777777" w:rsidR="00B56F82" w:rsidRDefault="00B56F82" w:rsidP="00B56F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3D93B" w14:textId="77777777" w:rsidR="00F92DB0" w:rsidRDefault="00B56F82" w:rsidP="00B56F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Nicoly Milhardo Lourenço Nohara, Luan Grilo, Clara Soeiro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Maas</w:t>
      </w:r>
      <w:proofErr w:type="spellEnd"/>
    </w:p>
    <w:p w14:paraId="30419509" w14:textId="77777777" w:rsidR="00B56F82" w:rsidRDefault="00B56F82" w:rsidP="00B56F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Periódico adotado: </w:t>
      </w:r>
      <w:r w:rsidRPr="00B56F82">
        <w:rPr>
          <w:rFonts w:ascii="Times New Roman" w:eastAsia="Times New Roman" w:hAnsi="Times New Roman" w:cs="Times New Roman"/>
          <w:sz w:val="24"/>
          <w:szCs w:val="24"/>
        </w:rPr>
        <w:t xml:space="preserve">Environmental </w:t>
      </w:r>
      <w:proofErr w:type="spellStart"/>
      <w:r w:rsidRPr="00B56F82">
        <w:rPr>
          <w:rFonts w:ascii="Times New Roman" w:eastAsia="Times New Roman" w:hAnsi="Times New Roman" w:cs="Times New Roman"/>
          <w:sz w:val="24"/>
          <w:szCs w:val="24"/>
        </w:rPr>
        <w:t>Engineering</w:t>
      </w:r>
      <w:proofErr w:type="spellEnd"/>
      <w:r w:rsidRPr="00B56F82">
        <w:rPr>
          <w:rFonts w:ascii="Times New Roman" w:eastAsia="Times New Roman" w:hAnsi="Times New Roman" w:cs="Times New Roman"/>
          <w:sz w:val="24"/>
          <w:szCs w:val="24"/>
        </w:rPr>
        <w:t xml:space="preserve"> Science (</w:t>
      </w:r>
      <w:hyperlink r:id="rId6" w:history="1">
        <w:r w:rsidRPr="00B56F8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https://www.liebertpub.com/loi/ees</w:t>
        </w:r>
      </w:hyperlink>
      <w:r w:rsidRPr="00B56F8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5EFF439F" w14:textId="77777777" w:rsidR="00B56F82" w:rsidRDefault="00B56F8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D2244D" w14:textId="77777777" w:rsidR="00F92DB0" w:rsidRDefault="00D5022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RESUMO</w:t>
      </w:r>
    </w:p>
    <w:p w14:paraId="75C742E9" w14:textId="77777777" w:rsidR="000A3824" w:rsidRDefault="000A38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135F3E" w14:textId="1AA96662" w:rsidR="004F729E" w:rsidRPr="00BE4921" w:rsidRDefault="004F729E" w:rsidP="004F729E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lang w:val="pt-PT"/>
        </w:rPr>
      </w:pPr>
      <w:r w:rsidRPr="00BE4921">
        <w:rPr>
          <w:rFonts w:ascii="Times New Roman" w:hAnsi="Times New Roman" w:cs="Times New Roman"/>
          <w:sz w:val="24"/>
          <w:szCs w:val="24"/>
        </w:rPr>
        <w:t xml:space="preserve">As substâncias húmicas correspondem a parcela majoritária da composição de lixiviados de </w:t>
      </w:r>
      <w:commentRangeStart w:id="0"/>
      <w:r w:rsidRPr="00BE4921">
        <w:rPr>
          <w:rFonts w:ascii="Times New Roman" w:hAnsi="Times New Roman" w:cs="Times New Roman"/>
          <w:sz w:val="24"/>
          <w:szCs w:val="24"/>
        </w:rPr>
        <w:t>aterro</w:t>
      </w:r>
      <w:commentRangeEnd w:id="0"/>
      <w:r w:rsidR="00D35D4F">
        <w:rPr>
          <w:rStyle w:val="Refdecomentrio"/>
        </w:rPr>
        <w:commentReference w:id="0"/>
      </w:r>
      <w:r w:rsidRPr="00BE4921">
        <w:rPr>
          <w:rFonts w:ascii="Times New Roman" w:hAnsi="Times New Roman" w:cs="Times New Roman"/>
          <w:sz w:val="24"/>
          <w:szCs w:val="24"/>
        </w:rPr>
        <w:t xml:space="preserve">. Essas substâncias têm potencial de associação com outras moléculas tóxicas (como os metais pesados) e são recalcitrantes aos tratamentos convencionais utilizados no </w:t>
      </w:r>
      <w:commentRangeStart w:id="1"/>
      <w:r w:rsidRPr="00BE4921">
        <w:rPr>
          <w:rFonts w:ascii="Times New Roman" w:hAnsi="Times New Roman" w:cs="Times New Roman"/>
          <w:sz w:val="24"/>
          <w:szCs w:val="24"/>
        </w:rPr>
        <w:t>Brasil</w:t>
      </w:r>
      <w:commentRangeEnd w:id="1"/>
      <w:r w:rsidR="00D35D4F">
        <w:rPr>
          <w:rStyle w:val="Refdecomentrio"/>
        </w:rPr>
        <w:commentReference w:id="1"/>
      </w:r>
      <w:r w:rsidRPr="00BE4921">
        <w:rPr>
          <w:rFonts w:ascii="Times New Roman" w:hAnsi="Times New Roman" w:cs="Times New Roman"/>
          <w:sz w:val="24"/>
          <w:szCs w:val="24"/>
        </w:rPr>
        <w:t>, representando um grande problema ambiental. O presente trabalho teve como o</w:t>
      </w:r>
      <w:r>
        <w:rPr>
          <w:rFonts w:ascii="Times New Roman" w:hAnsi="Times New Roman" w:cs="Times New Roman"/>
          <w:sz w:val="24"/>
          <w:szCs w:val="24"/>
        </w:rPr>
        <w:t xml:space="preserve">bjetivo avaliar a degradação de fenóis contidos em substâncias húmicas </w:t>
      </w:r>
      <w:r w:rsidRPr="00BE4921">
        <w:rPr>
          <w:rFonts w:ascii="Times New Roman" w:hAnsi="Times New Roman" w:cs="Times New Roman"/>
          <w:sz w:val="24"/>
          <w:szCs w:val="24"/>
        </w:rPr>
        <w:t>fracionada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E4921">
        <w:rPr>
          <w:rFonts w:ascii="Times New Roman" w:hAnsi="Times New Roman" w:cs="Times New Roman"/>
          <w:sz w:val="24"/>
          <w:szCs w:val="24"/>
        </w:rPr>
        <w:t xml:space="preserve"> em (a) </w:t>
      </w:r>
      <w:r>
        <w:rPr>
          <w:rFonts w:ascii="Times New Roman" w:hAnsi="Times New Roman" w:cs="Times New Roman"/>
          <w:sz w:val="24"/>
          <w:szCs w:val="24"/>
        </w:rPr>
        <w:t>ácidos húmicos (AH)</w:t>
      </w:r>
      <w:r w:rsidRPr="00BE4921">
        <w:rPr>
          <w:rFonts w:ascii="Times New Roman" w:hAnsi="Times New Roman" w:cs="Times New Roman"/>
          <w:sz w:val="24"/>
          <w:szCs w:val="24"/>
        </w:rPr>
        <w:t xml:space="preserve"> e 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ácidos fúlvicos (AF)</w:t>
      </w:r>
      <w:r w:rsidRPr="000248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 huminas</w:t>
      </w:r>
      <w:r w:rsidRPr="00BE4921">
        <w:rPr>
          <w:rFonts w:ascii="Times New Roman" w:hAnsi="Times New Roman" w:cs="Times New Roman"/>
          <w:sz w:val="24"/>
          <w:szCs w:val="24"/>
        </w:rPr>
        <w:t xml:space="preserve"> de um lixiviado proveniente do aterro </w:t>
      </w:r>
      <w:commentRangeStart w:id="2"/>
      <w:r w:rsidRPr="00BE4921">
        <w:rPr>
          <w:rFonts w:ascii="Times New Roman" w:hAnsi="Times New Roman" w:cs="Times New Roman"/>
          <w:sz w:val="24"/>
          <w:szCs w:val="24"/>
        </w:rPr>
        <w:t>municipal</w:t>
      </w:r>
      <w:commentRangeEnd w:id="2"/>
      <w:r w:rsidR="00D35D4F">
        <w:rPr>
          <w:rStyle w:val="Refdecomentrio"/>
        </w:rPr>
        <w:commentReference w:id="2"/>
      </w:r>
      <w:r w:rsidRPr="00BE4921">
        <w:rPr>
          <w:rFonts w:ascii="Times New Roman" w:hAnsi="Times New Roman" w:cs="Times New Roman"/>
          <w:sz w:val="24"/>
          <w:szCs w:val="24"/>
        </w:rPr>
        <w:t xml:space="preserve"> de Cachoeira Paulista, localizado no Estado de São Paulo, Brasil, </w:t>
      </w:r>
      <w:r>
        <w:rPr>
          <w:rFonts w:ascii="Times New Roman" w:hAnsi="Times New Roman" w:cs="Times New Roman"/>
          <w:sz w:val="24"/>
          <w:szCs w:val="24"/>
        </w:rPr>
        <w:t>pelo</w:t>
      </w:r>
      <w:r w:rsidRPr="00BE4921">
        <w:rPr>
          <w:rFonts w:ascii="Times New Roman" w:hAnsi="Times New Roman" w:cs="Times New Roman"/>
          <w:sz w:val="24"/>
          <w:szCs w:val="24"/>
        </w:rPr>
        <w:t xml:space="preserve"> processo fotocatalítico que utiliza luz solar como fonte de energia. Os ensaios foram realizados em um reator </w:t>
      </w:r>
      <w:commentRangeStart w:id="3"/>
      <w:r w:rsidRPr="00BE4921">
        <w:rPr>
          <w:rFonts w:ascii="Times New Roman" w:hAnsi="Times New Roman" w:cs="Times New Roman"/>
          <w:sz w:val="24"/>
          <w:szCs w:val="24"/>
        </w:rPr>
        <w:t>TFFBR</w:t>
      </w:r>
      <w:commentRangeEnd w:id="3"/>
      <w:r w:rsidR="00D35D4F">
        <w:rPr>
          <w:rStyle w:val="Refdecomentrio"/>
        </w:rPr>
        <w:commentReference w:id="3"/>
      </w:r>
      <w:r w:rsidRPr="00BE4921">
        <w:rPr>
          <w:rFonts w:ascii="Times New Roman" w:hAnsi="Times New Roman" w:cs="Times New Roman"/>
          <w:sz w:val="24"/>
          <w:szCs w:val="24"/>
        </w:rPr>
        <w:t xml:space="preserve">, utilizando-se chapas metálicas revestidas com tintas formuladas especialmente para esta finalidade. Estudou-se </w:t>
      </w:r>
      <w:r w:rsidR="00D35D4F">
        <w:rPr>
          <w:rFonts w:ascii="Times New Roman" w:hAnsi="Times New Roman" w:cs="Times New Roman"/>
          <w:color w:val="FF0000"/>
          <w:sz w:val="24"/>
          <w:szCs w:val="24"/>
        </w:rPr>
        <w:t xml:space="preserve">a degradação fotocatalítica do lixiviado por percolação sobre tintas que continham </w:t>
      </w:r>
      <w:r w:rsidRPr="00D35D4F">
        <w:rPr>
          <w:rFonts w:ascii="Times New Roman" w:hAnsi="Times New Roman" w:cs="Times New Roman"/>
          <w:strike/>
          <w:sz w:val="24"/>
          <w:szCs w:val="24"/>
        </w:rPr>
        <w:t>o comportamento fotocatalítico de</w:t>
      </w:r>
      <w:r w:rsidRPr="00BE4921">
        <w:rPr>
          <w:rFonts w:ascii="Times New Roman" w:hAnsi="Times New Roman" w:cs="Times New Roman"/>
          <w:sz w:val="24"/>
          <w:szCs w:val="24"/>
        </w:rPr>
        <w:t xml:space="preserve"> três diferentes composições mássicas do sistema binário ZnO-TiO</w:t>
      </w:r>
      <w:r w:rsidRPr="00BE4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4921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4"/>
      <w:r w:rsidRPr="00BE4921">
        <w:rPr>
          <w:rFonts w:ascii="Times New Roman" w:hAnsi="Times New Roman" w:cs="Times New Roman"/>
          <w:sz w:val="24"/>
          <w:szCs w:val="24"/>
        </w:rPr>
        <w:t>ZnO35TiO</w:t>
      </w:r>
      <w:r w:rsidRPr="00BE4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commentRangeEnd w:id="4"/>
      <w:r w:rsidR="00D35D4F">
        <w:rPr>
          <w:rStyle w:val="Refdecomentrio"/>
        </w:rPr>
        <w:commentReference w:id="4"/>
      </w:r>
      <w:r w:rsidRPr="00BE4921">
        <w:rPr>
          <w:rFonts w:ascii="Times New Roman" w:hAnsi="Times New Roman" w:cs="Times New Roman"/>
          <w:sz w:val="24"/>
          <w:szCs w:val="24"/>
        </w:rPr>
        <w:t>, ZnO56TiO</w:t>
      </w:r>
      <w:r w:rsidRPr="00BE4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4921">
        <w:rPr>
          <w:rFonts w:ascii="Times New Roman" w:hAnsi="Times New Roman" w:cs="Times New Roman"/>
          <w:sz w:val="24"/>
          <w:szCs w:val="24"/>
        </w:rPr>
        <w:t xml:space="preserve"> e ZnO80TiO</w:t>
      </w:r>
      <w:r w:rsidRPr="00BE4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4921">
        <w:rPr>
          <w:rFonts w:ascii="Times New Roman" w:hAnsi="Times New Roman" w:cs="Times New Roman"/>
          <w:sz w:val="24"/>
          <w:szCs w:val="24"/>
        </w:rPr>
        <w:t xml:space="preserve">) </w:t>
      </w:r>
      <w:r w:rsidRPr="00D35D4F">
        <w:rPr>
          <w:rFonts w:ascii="Times New Roman" w:hAnsi="Times New Roman" w:cs="Times New Roman"/>
          <w:strike/>
          <w:sz w:val="24"/>
          <w:szCs w:val="24"/>
        </w:rPr>
        <w:t>incorporadas a um verniz acrílico</w:t>
      </w:r>
      <w:r w:rsidRPr="00BE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 diferentes faixas de pH (</w:t>
      </w:r>
      <w:r w:rsidRPr="00BE4921">
        <w:rPr>
          <w:rFonts w:ascii="Times New Roman" w:hAnsi="Times New Roman" w:cs="Times New Roman"/>
          <w:sz w:val="24"/>
          <w:szCs w:val="24"/>
        </w:rPr>
        <w:t>ácid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 w:rsidRPr="00BE4921">
        <w:rPr>
          <w:rFonts w:ascii="Times New Roman" w:hAnsi="Times New Roman" w:cs="Times New Roman"/>
          <w:sz w:val="24"/>
          <w:szCs w:val="24"/>
        </w:rPr>
        <w:t>4,5-5,0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E4921">
        <w:rPr>
          <w:rFonts w:ascii="Times New Roman" w:hAnsi="Times New Roman" w:cs="Times New Roman"/>
          <w:sz w:val="24"/>
          <w:szCs w:val="24"/>
        </w:rPr>
        <w:t xml:space="preserve"> neutra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4921">
        <w:rPr>
          <w:rFonts w:ascii="Times New Roman" w:hAnsi="Times New Roman" w:cs="Times New Roman"/>
          <w:sz w:val="24"/>
          <w:szCs w:val="24"/>
        </w:rPr>
        <w:t xml:space="preserve"> 6,5-7,0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E4921">
        <w:rPr>
          <w:rFonts w:ascii="Times New Roman" w:hAnsi="Times New Roman" w:cs="Times New Roman"/>
          <w:sz w:val="24"/>
          <w:szCs w:val="24"/>
        </w:rPr>
        <w:t xml:space="preserve"> alcalina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4921">
        <w:rPr>
          <w:rFonts w:ascii="Times New Roman" w:hAnsi="Times New Roman" w:cs="Times New Roman"/>
          <w:sz w:val="24"/>
          <w:szCs w:val="24"/>
        </w:rPr>
        <w:t xml:space="preserve">7,5-8,0). </w:t>
      </w:r>
      <w:r w:rsidRPr="00D35D4F">
        <w:rPr>
          <w:rFonts w:ascii="Times New Roman" w:hAnsi="Times New Roman" w:cs="Times New Roman"/>
          <w:strike/>
          <w:sz w:val="24"/>
          <w:szCs w:val="24"/>
        </w:rPr>
        <w:t xml:space="preserve">A caracterização analítica dos fenóis foi realizada do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Método de </w:t>
      </w:r>
      <w:commentRangeStart w:id="5"/>
      <w:proofErr w:type="spellStart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Lowry</w:t>
      </w:r>
      <w:commentRangeEnd w:id="5"/>
      <w:proofErr w:type="spellEnd"/>
      <w:r w:rsidR="00D35D4F" w:rsidRPr="00D35D4F">
        <w:rPr>
          <w:rStyle w:val="Refdecomentrio"/>
          <w:strike/>
        </w:rPr>
        <w:commentReference w:id="5"/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 modificado na reação de </w:t>
      </w:r>
      <w:proofErr w:type="spellStart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Folin</w:t>
      </w:r>
      <w:proofErr w:type="spellEnd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 </w:t>
      </w:r>
      <w:proofErr w:type="spellStart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Ciocalteau</w:t>
      </w:r>
      <w:proofErr w:type="spellEnd"/>
      <w:r w:rsidRPr="00D35D4F">
        <w:rPr>
          <w:rFonts w:ascii="Times New Roman" w:hAnsi="Times New Roman" w:cs="Times New Roman"/>
          <w:iCs/>
          <w:strike/>
          <w:sz w:val="24"/>
          <w:szCs w:val="24"/>
        </w:rPr>
        <w:t>. O</w:t>
      </w:r>
      <w:r w:rsidRPr="00D35D4F">
        <w:rPr>
          <w:rFonts w:ascii="Times New Roman" w:hAnsi="Times New Roman" w:cs="Times New Roman"/>
          <w:iCs/>
          <w:strike/>
          <w:sz w:val="24"/>
          <w:lang w:val="pt-PT"/>
        </w:rPr>
        <w:t xml:space="preserve"> processo proposto de fotocatálise mostrou resultados significativos de</w:t>
      </w:r>
      <w:r>
        <w:rPr>
          <w:rFonts w:ascii="Times New Roman" w:hAnsi="Times New Roman" w:cs="Times New Roman"/>
          <w:iCs/>
          <w:sz w:val="24"/>
          <w:lang w:val="pt-PT"/>
        </w:rPr>
        <w:t xml:space="preserve"> degradação de AH </w:t>
      </w:r>
      <w:r w:rsidR="00D35D4F">
        <w:rPr>
          <w:rFonts w:ascii="Times New Roman" w:hAnsi="Times New Roman" w:cs="Times New Roman"/>
          <w:iCs/>
          <w:color w:val="FF0000"/>
          <w:sz w:val="24"/>
          <w:lang w:val="pt-PT"/>
        </w:rPr>
        <w:t xml:space="preserve">atingiu 65% quando a fotocatálise foi conduzida em meio ácido sobre tinta catalítica </w:t>
      </w:r>
      <w:r w:rsidRPr="00D35D4F">
        <w:rPr>
          <w:rFonts w:ascii="Times New Roman" w:hAnsi="Times New Roman" w:cs="Times New Roman"/>
          <w:iCs/>
          <w:strike/>
          <w:sz w:val="24"/>
          <w:lang w:val="pt-PT"/>
        </w:rPr>
        <w:t>no lixiviado, devido a uma menor estabilidade química dessa fração (mais facilmente oxidada). Em condições</w:t>
      </w:r>
      <w:r w:rsidRPr="00BE4921">
        <w:rPr>
          <w:rFonts w:ascii="Times New Roman" w:hAnsi="Times New Roman" w:cs="Times New Roman"/>
          <w:iCs/>
          <w:sz w:val="24"/>
          <w:lang w:val="pt-PT"/>
        </w:rPr>
        <w:t xml:space="preserve"> com predominância de TiO</w:t>
      </w:r>
      <w:r w:rsidRPr="00BE4921">
        <w:rPr>
          <w:rFonts w:ascii="Times New Roman" w:hAnsi="Times New Roman" w:cs="Times New Roman"/>
          <w:iCs/>
          <w:sz w:val="24"/>
          <w:vertAlign w:val="subscript"/>
          <w:lang w:val="pt-PT"/>
        </w:rPr>
        <w:t>2</w:t>
      </w:r>
      <w:r w:rsidRPr="00BE4921">
        <w:rPr>
          <w:rFonts w:ascii="Times New Roman" w:hAnsi="Times New Roman" w:cs="Times New Roman"/>
          <w:iCs/>
          <w:sz w:val="24"/>
          <w:lang w:val="pt-PT"/>
        </w:rPr>
        <w:t xml:space="preserve"> </w:t>
      </w:r>
      <w:r w:rsidRPr="00D35D4F">
        <w:rPr>
          <w:rFonts w:ascii="Times New Roman" w:hAnsi="Times New Roman" w:cs="Times New Roman"/>
          <w:iCs/>
          <w:strike/>
          <w:sz w:val="24"/>
          <w:lang w:val="pt-PT"/>
        </w:rPr>
        <w:t>e em meio ácido, obteve-se uma degradação máxima de 65% dos AH.</w:t>
      </w:r>
      <w:r>
        <w:rPr>
          <w:rFonts w:ascii="Times New Roman" w:hAnsi="Times New Roman" w:cs="Times New Roman"/>
          <w:iCs/>
          <w:sz w:val="24"/>
          <w:lang w:val="pt-PT"/>
        </w:rPr>
        <w:t xml:space="preserve"> Quanto aos AF e huminas, houve uma tendência maior de adsorção ao invés da fotocatálise, sobretudo na composição ZnO35TiO</w:t>
      </w:r>
      <w:r w:rsidRPr="007D28A0">
        <w:rPr>
          <w:rFonts w:ascii="Times New Roman" w:hAnsi="Times New Roman" w:cs="Times New Roman"/>
          <w:iCs/>
          <w:sz w:val="24"/>
          <w:vertAlign w:val="subscript"/>
          <w:lang w:val="pt-PT"/>
        </w:rPr>
        <w:t>2</w:t>
      </w:r>
      <w:r>
        <w:rPr>
          <w:rFonts w:ascii="Times New Roman" w:hAnsi="Times New Roman" w:cs="Times New Roman"/>
          <w:iCs/>
          <w:sz w:val="24"/>
          <w:lang w:val="pt-PT"/>
        </w:rPr>
        <w:t xml:space="preserve"> em pH alcalino, com </w:t>
      </w:r>
      <w:r w:rsidR="00D35D4F">
        <w:rPr>
          <w:rFonts w:ascii="Times New Roman" w:hAnsi="Times New Roman" w:cs="Times New Roman"/>
          <w:iCs/>
          <w:color w:val="FF0000"/>
          <w:sz w:val="24"/>
          <w:lang w:val="pt-PT"/>
        </w:rPr>
        <w:t xml:space="preserve">remoção </w:t>
      </w:r>
      <w:r>
        <w:rPr>
          <w:rFonts w:ascii="Times New Roman" w:hAnsi="Times New Roman" w:cs="Times New Roman"/>
          <w:iCs/>
          <w:sz w:val="24"/>
          <w:lang w:val="pt-PT"/>
        </w:rPr>
        <w:t xml:space="preserve">máxima de 60%. Esses resultados estão de acordo com os avaliados em outros </w:t>
      </w:r>
      <w:commentRangeStart w:id="6"/>
      <w:r>
        <w:rPr>
          <w:rFonts w:ascii="Times New Roman" w:hAnsi="Times New Roman" w:cs="Times New Roman"/>
          <w:iCs/>
          <w:sz w:val="24"/>
          <w:lang w:val="pt-PT"/>
        </w:rPr>
        <w:t>estudos</w:t>
      </w:r>
      <w:commentRangeEnd w:id="6"/>
      <w:r w:rsidR="00D35D4F">
        <w:rPr>
          <w:rStyle w:val="Refdecomentrio"/>
        </w:rPr>
        <w:commentReference w:id="6"/>
      </w:r>
      <w:r>
        <w:rPr>
          <w:rFonts w:ascii="Times New Roman" w:hAnsi="Times New Roman" w:cs="Times New Roman"/>
          <w:iCs/>
          <w:sz w:val="24"/>
          <w:lang w:val="pt-PT"/>
        </w:rPr>
        <w:t>.</w:t>
      </w:r>
    </w:p>
    <w:p w14:paraId="68E63F74" w14:textId="77777777" w:rsidR="00734A30" w:rsidRDefault="00734A3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D3BC0" w14:textId="77777777" w:rsidR="00F92DB0" w:rsidRDefault="00D50222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Palavras-chave: </w:t>
      </w:r>
      <w:r>
        <w:rPr>
          <w:rFonts w:ascii="Times New Roman" w:eastAsia="Times New Roman" w:hAnsi="Times New Roman" w:cs="Times New Roman"/>
        </w:rPr>
        <w:t>dióxido de titânio, óxido de zinco, fotocatálise heterogênea.</w:t>
      </w:r>
    </w:p>
    <w:p w14:paraId="508A2332" w14:textId="77777777" w:rsidR="00F92DB0" w:rsidRDefault="00F92DB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E0389C" w14:textId="67D75543" w:rsidR="00AC53D5" w:rsidRDefault="00AC53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B4A44F" w14:textId="77777777" w:rsidR="0065548B" w:rsidRDefault="0065548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BF678" w14:textId="77777777" w:rsidR="004F729E" w:rsidRDefault="004F729E" w:rsidP="004F72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INTRODUÇÃO</w:t>
      </w:r>
    </w:p>
    <w:p w14:paraId="15DB2400" w14:textId="77777777" w:rsidR="004F729E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0D5A4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Brasil, desde a publicação da Lei Federal 12.305/2010 (Política Nacional de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Resíduos Sólidos), os resíduos sólidos urbanos (RSU) têm disposição final em aterros sanitários. Segundo os dados publicados pela ABRELPE (2020), em 2019 o índice per capita de geração de RSU foi de 379 kg hab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, sendo apenas 59,5% destinados aos aterros sanitários. A União Europeia, por sua vez, neste mesmo ano teve uma geração média de 482 kg hab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bookmarkStart w:id="7" w:name="bau0005"/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Minelgaitė</w:t>
      </w:r>
      <w:bookmarkEnd w:id="7"/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bookmarkStart w:id="8" w:name="bau0010"/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Liobikienė</w:t>
      </w:r>
      <w:bookmarkEnd w:id="8"/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, 2019), sendo predominantemente destinados a usinas de incineração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Scarlat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Fahl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Dallemand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, 2019). Quando comparados, os aterros têm como desvantagens a utilização de grandes espaços urbanos e a geração de lixiviado; um líquido composto predominantemente por matéria orgânica natural (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que, sem o devido tratamento e destino corretos, trazem inúmeros impactos ao meio ambiente (Costa et al., </w:t>
      </w:r>
      <w:commentRangeStart w:id="9"/>
      <w:r w:rsidRPr="0065548B">
        <w:rPr>
          <w:rFonts w:ascii="Times New Roman" w:eastAsia="Times New Roman" w:hAnsi="Times New Roman" w:cs="Times New Roman"/>
          <w:sz w:val="24"/>
          <w:szCs w:val="24"/>
        </w:rPr>
        <w:t>2019</w:t>
      </w:r>
      <w:commentRangeEnd w:id="9"/>
      <w:r w:rsidR="00D35D4F">
        <w:rPr>
          <w:rStyle w:val="Refdecomentrio"/>
        </w:rPr>
        <w:commentReference w:id="9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2210AC8D" w14:textId="53B23FF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88">
        <w:rPr>
          <w:rFonts w:ascii="Times New Roman" w:eastAsia="Times New Roman" w:hAnsi="Times New Roman" w:cs="Times New Roman"/>
          <w:sz w:val="24"/>
          <w:szCs w:val="24"/>
        </w:rPr>
        <w:t>As substâncias húmicas (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SHs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) correspondem a maior parcela presente 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 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(50-90%) e são o resultado das interações entre pequenas moléculas e polímeros (ligações de van der 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Waals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e pontes de hidrogênio) (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Guo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>; Liu; Wu, 2019). Essas substâncias podem ser classificadas quanto à solubilidade em: (a) ácidos húmicos,</w:t>
      </w:r>
      <w:r w:rsidRPr="00217F8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>solúveis em água em pH alcalino; (b) ácidos fúlvicos, solúveis em água em qualquer pH; e (c) huminas, insolúvel em meio aquoso (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McDonald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7E3C">
        <w:rPr>
          <w:rFonts w:ascii="Times New Roman" w:eastAsia="Times New Roman" w:hAnsi="Times New Roman" w:cs="Times New Roman"/>
          <w:sz w:val="24"/>
          <w:szCs w:val="24"/>
        </w:rPr>
        <w:t>et al</w:t>
      </w:r>
      <w:r w:rsidRPr="00F6110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, 2004). </w:t>
      </w:r>
      <w:commentRangeStart w:id="10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Yang, Tang e </w:t>
      </w:r>
      <w:proofErr w:type="spellStart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Antonietti</w:t>
      </w:r>
      <w:proofErr w:type="spellEnd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 (2021) analisaram, dentre outras coisas, o número de publicações relacionadas às substâncias húmicas entre os anos de 1999 e 2019. Segundo o apresentado pelos autores,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commentRangeEnd w:id="10"/>
      <w:r w:rsidR="00D35D4F">
        <w:rPr>
          <w:rStyle w:val="Refdecomentrio"/>
        </w:rPr>
        <w:commentReference w:id="10"/>
      </w:r>
      <w:proofErr w:type="gramStart"/>
      <w:r w:rsidR="00D35D4F" w:rsidRP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H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>á</w:t>
      </w:r>
      <w:proofErr w:type="gram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uma tendência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ênfase nos estudos dos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na última década em estudar muito mais as frações de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AH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em detrimento dos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do que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AF e 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huminas</w:t>
      </w:r>
      <w:proofErr w:type="spellEnd"/>
      <w:r w:rsidR="00D35D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35D4F" w:rsidRP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apesar de a 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composição química das 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SHs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varia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r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conforme a fonte e a idade do aterro sanitário</w:t>
      </w:r>
      <w:r w:rsidR="00D35D4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D35D4F" w:rsidRPr="00D35D4F">
        <w:rPr>
          <w:rFonts w:ascii="Times New Roman" w:eastAsia="Times New Roman" w:hAnsi="Times New Roman" w:cs="Times New Roman"/>
          <w:sz w:val="24"/>
          <w:szCs w:val="24"/>
        </w:rPr>
        <w:t xml:space="preserve">Yang, Tang e </w:t>
      </w:r>
      <w:proofErr w:type="spellStart"/>
      <w:r w:rsidR="00D35D4F" w:rsidRPr="00D35D4F">
        <w:rPr>
          <w:rFonts w:ascii="Times New Roman" w:eastAsia="Times New Roman" w:hAnsi="Times New Roman" w:cs="Times New Roman"/>
          <w:sz w:val="24"/>
          <w:szCs w:val="24"/>
        </w:rPr>
        <w:t>Antonietti</w:t>
      </w:r>
      <w:proofErr w:type="spellEnd"/>
      <w:r w:rsidR="00D35D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35D4F" w:rsidRPr="00D35D4F">
        <w:rPr>
          <w:rFonts w:ascii="Times New Roman" w:eastAsia="Times New Roman" w:hAnsi="Times New Roman" w:cs="Times New Roman"/>
          <w:sz w:val="24"/>
          <w:szCs w:val="24"/>
        </w:rPr>
        <w:t>2021)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Nas três frações consideradas, há predominância </w:t>
      </w:r>
      <w:proofErr w:type="gramStart"/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,</w:t>
      </w:r>
      <w:proofErr w:type="gramEnd"/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 xml:space="preserve"> sendo predominantemente compostos por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ácidos carboxílicos e fenóis (</w:t>
      </w:r>
      <w:proofErr w:type="spellStart"/>
      <w:r w:rsidRPr="00217F88">
        <w:rPr>
          <w:rFonts w:ascii="Times New Roman" w:eastAsia="Times New Roman" w:hAnsi="Times New Roman" w:cs="Times New Roman"/>
          <w:sz w:val="24"/>
          <w:szCs w:val="24"/>
        </w:rPr>
        <w:t>McDonald</w:t>
      </w:r>
      <w:proofErr w:type="spellEnd"/>
      <w:r w:rsidRPr="0021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7E3C">
        <w:rPr>
          <w:rFonts w:ascii="Times New Roman" w:eastAsia="Times New Roman" w:hAnsi="Times New Roman" w:cs="Times New Roman"/>
          <w:sz w:val="24"/>
          <w:szCs w:val="24"/>
        </w:rPr>
        <w:t>et al</w:t>
      </w:r>
      <w:r w:rsidRPr="00F6110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7F88">
        <w:rPr>
          <w:rFonts w:ascii="Times New Roman" w:eastAsia="Times New Roman" w:hAnsi="Times New Roman" w:cs="Times New Roman"/>
          <w:sz w:val="24"/>
          <w:szCs w:val="24"/>
        </w:rPr>
        <w:t>, 2004).</w:t>
      </w:r>
      <w:r w:rsidRPr="0065548B">
        <w:rPr>
          <w:rFonts w:ascii="Times New Roman" w:hAnsi="Times New Roman" w:cs="Times New Roman"/>
          <w:sz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Os fenóis encontrados em substâncias húmicas de lixiviados de aterro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sanitário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podem ter origem em produtos das indústrias têxteis, petroquímicas e refinarias de petróleo </w:t>
      </w:r>
      <w:commentRangeStart w:id="11"/>
      <w:r w:rsidRPr="0065548B">
        <w:rPr>
          <w:rFonts w:ascii="Times New Roman" w:eastAsia="Times New Roman" w:hAnsi="Times New Roman" w:cs="Times New Roman"/>
          <w:sz w:val="24"/>
          <w:szCs w:val="24"/>
        </w:rPr>
        <w:t>e</w:t>
      </w:r>
      <w:commentRangeEnd w:id="11"/>
      <w:r w:rsidR="00D35D4F">
        <w:rPr>
          <w:rStyle w:val="Refdecomentrio"/>
        </w:rPr>
        <w:commentReference w:id="11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funcionam como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disruptores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endócrinos (Said et al., 2018). Além disto, processos convencionais de tratamento biológico não são suficientes para a remoção desses compostos, devido a recalcitrância e toxicidade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Hayati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et al., 2018). Uma alternativa promissora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o tratamento destes compostos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lastRenderedPageBreak/>
        <w:t>é a utilização de processos oxidativos avançados (POA), sobretudo a fotocatálise heterogênea (Said et al., 2021).</w:t>
      </w:r>
    </w:p>
    <w:p w14:paraId="74B86AFF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ab/>
        <w:t>A fotocatálise heterogênea é iniciada pela incidência de um fóton na superfície de um semicondutor que promove a interação do par elétron-lacuna entre as bandas de condução e valência, sendo 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o ZnO, os mais utilizados para esta finalidade (Said et al., 2021). Há vários fatores que influenciam a fotocatálise, dentre eles a combinação de fotocatalisadores com outros compostos via misturas ou dopagens, o pH da solução, a fonte de radiação e o tipo de reator empregado. No caso da combinação de fotocatalisadores, estudos apontam que misturas binárias de 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, por exemplo, apresentam maior eficiência do que os elementos em separado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Upadhaya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Kumar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Purkayastha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2019;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Turkten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Bekbolet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2020;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Munguti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Dejene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, 2021).  Essas misturas podem ser utilizadas em suspensão ou fixas em um suporte estacionário, sendo a última opção mais econômica por não necessitar de etapas de filtração. Uma forma de fixá-las em um suporte é pela sua incorporação em uma matriz polimérica, como é o caso das tintas acrílicas, que podem ser aplicadas em reatores abertos para aproveitamento de irradiação solar (</w:t>
      </w:r>
      <w:proofErr w:type="spellStart"/>
      <w:r w:rsidRPr="0065548B">
        <w:rPr>
          <w:rFonts w:ascii="Times New Roman" w:hAnsi="Times New Roman" w:cs="Times New Roman"/>
          <w:sz w:val="24"/>
        </w:rPr>
        <w:t>Islam</w:t>
      </w:r>
      <w:proofErr w:type="spellEnd"/>
      <w:r w:rsidRPr="0065548B">
        <w:rPr>
          <w:rFonts w:ascii="Times New Roman" w:hAnsi="Times New Roman" w:cs="Times New Roman"/>
          <w:sz w:val="24"/>
        </w:rPr>
        <w:t xml:space="preserve"> et al., 2020)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EDA74E" w14:textId="784CDA7E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ab/>
        <w:t xml:space="preserve">A fotocatálise heterogênea aplicada às substâncias húmicas foi estudada por diversos autores nos últimos 15 anos (Liu et al., 2008; Omar; Aziz;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Stoll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, 2014). Liu et al. (2008) relataram a eficiência da fotocatálise pelo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/UV na degradação das diferentes frações 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>húmicas, além de analisar efeitos de adsorção entre o TiO</w:t>
      </w:r>
      <w:r w:rsidRPr="00AC53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e o AH. Omar, Aziz </w:t>
      </w:r>
      <w:proofErr w:type="spellStart"/>
      <w:r w:rsidRPr="00AC53D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C53D5">
        <w:rPr>
          <w:rFonts w:ascii="Times New Roman" w:eastAsia="Times New Roman" w:hAnsi="Times New Roman" w:cs="Times New Roman"/>
          <w:sz w:val="24"/>
          <w:szCs w:val="24"/>
        </w:rPr>
        <w:t>Stoll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(2014)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avaliaram a eficiência da fotocatálise pelo ZnO/UV na degradação dos AH, sendo destacados os efeitos do ponto de carga zero (PCZ), potencial zeta e pH do meio nos efeitos de adsorção dessas substâncias na superfície do semicondutor.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Rajca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Bodzek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(2013) estudaram a cinética da degradação dos AF e AH pelo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/UV em diferentes faixas de pH (3,0; 7,0 e 10,0). Em relação à heteroestrutura 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aplicada às substâncias húmicas, o mais recente estudo foi publicado por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Turkten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Bekbolet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(2020). Os autores analisaram três composições de misturas binárias em peso de 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(1:1, 3:1 e 1:3), além do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ZnO em separado, obtidas pelo método de simples dispersão em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meio aquoso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solução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para degradação de substâncias húmicas (sem separação) sob irradiação </w:t>
      </w:r>
      <w:commentRangeStart w:id="12"/>
      <w:r w:rsidRPr="0065548B">
        <w:rPr>
          <w:rFonts w:ascii="Times New Roman" w:eastAsia="Times New Roman" w:hAnsi="Times New Roman" w:cs="Times New Roman"/>
          <w:sz w:val="24"/>
          <w:szCs w:val="24"/>
        </w:rPr>
        <w:t>solar</w:t>
      </w:r>
      <w:commentRangeEnd w:id="12"/>
      <w:r w:rsidR="00D35D4F">
        <w:rPr>
          <w:rStyle w:val="Refdecomentrio"/>
        </w:rPr>
        <w:commentReference w:id="12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38401D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hAnsi="Times New Roman" w:cs="Times New Roman"/>
          <w:sz w:val="24"/>
        </w:rPr>
        <w:t xml:space="preserve">O presente estudo teve como objetivo avaliar, por meio de ferramentas estatísticas, a degradação de fenóis presentes em duas frações orgânicas de lixiviado de aterro sanitário por fotocatálise heterogênea solar: (a) ácidos húmicos e (b) ácidos fúlvicos e huminas.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Desta forma, o presente estudo se mostrou importante para avaliação da capacidade de degradação dessas substâncias em separado pelas heteroestruturas de 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incorporadas a um verniz acrílico e aplicadas em um reator </w:t>
      </w:r>
      <w:commentRangeStart w:id="13"/>
      <w:r w:rsidRPr="0065548B">
        <w:rPr>
          <w:rFonts w:ascii="Times New Roman" w:eastAsia="Times New Roman" w:hAnsi="Times New Roman" w:cs="Times New Roman"/>
          <w:sz w:val="24"/>
          <w:szCs w:val="24"/>
        </w:rPr>
        <w:t>TFFBR</w:t>
      </w:r>
      <w:commentRangeEnd w:id="13"/>
      <w:r w:rsidR="00D35D4F">
        <w:rPr>
          <w:rStyle w:val="Refdecomentrio"/>
        </w:rPr>
        <w:commentReference w:id="13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por uma pistola de pintura.</w:t>
      </w:r>
    </w:p>
    <w:p w14:paraId="0A007E24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F3EA3E" w14:textId="77777777" w:rsidR="004F729E" w:rsidRPr="0065548B" w:rsidRDefault="004F729E" w:rsidP="004F729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548B">
        <w:rPr>
          <w:rFonts w:ascii="Times New Roman" w:eastAsia="Times New Roman" w:hAnsi="Times New Roman" w:cs="Times New Roman"/>
          <w:b/>
          <w:sz w:val="28"/>
          <w:szCs w:val="28"/>
        </w:rPr>
        <w:t>2. MATERIAIS E MÉTODOS</w:t>
      </w:r>
    </w:p>
    <w:p w14:paraId="5B6E2B15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77A750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2.1 Preparo do material fotocatalítico</w:t>
      </w:r>
    </w:p>
    <w:p w14:paraId="055A6402" w14:textId="77777777" w:rsidR="004F729E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BB6030" w14:textId="03222D0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As misturas binárias </w:t>
      </w:r>
      <w:r w:rsidR="00650B3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</w:t>
      </w:r>
      <w:proofErr w:type="spellStart"/>
      <w:r w:rsidR="00650B3C">
        <w:rPr>
          <w:rFonts w:ascii="Times New Roman" w:eastAsia="Times New Roman" w:hAnsi="Times New Roman" w:cs="Times New Roman"/>
          <w:color w:val="FF0000"/>
          <w:sz w:val="24"/>
          <w:szCs w:val="24"/>
        </w:rPr>
        <w:t>fotocatalis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adores</w:t>
      </w:r>
      <w:proofErr w:type="spellEnd"/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foram preparadas pelo método de simples mistura. Os insumos utilizados na confecção do material fotocatalítico foram: verniz acrílico (60%v), fotocatalisadores (ZnO-TiO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, 20%v), água deionizada (15%v), poliacrilato de amônia (</w:t>
      </w:r>
      <w:proofErr w:type="gramStart"/>
      <w:r w:rsidRPr="0065548B">
        <w:rPr>
          <w:rFonts w:ascii="Times New Roman" w:eastAsia="Times New Roman" w:hAnsi="Times New Roman" w:cs="Times New Roman"/>
          <w:sz w:val="24"/>
          <w:szCs w:val="24"/>
        </w:rPr>
        <w:t>PAA(</w:t>
      </w:r>
      <w:proofErr w:type="gramEnd"/>
      <w:r w:rsidRPr="0065548B">
        <w:rPr>
          <w:rFonts w:ascii="Times New Roman" w:eastAsia="Times New Roman" w:hAnsi="Times New Roman" w:cs="Times New Roman"/>
          <w:sz w:val="24"/>
          <w:szCs w:val="24"/>
        </w:rPr>
        <w:t>NH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v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D62B2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 e carboximetilcelulose (CMC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v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6E7E3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). O verniz acrílico comercial utilizado foi do tipo incolor,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semibrilho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solúvel em água. A composição média típica deste verniz é baseada em um copolímero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methyl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metacrilate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(MMA),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butyl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acrylate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(BA), 2-hydroxyethyl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methacrylate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(HEMA) 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acrylic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acid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(AA) com proporção em peso de 60:22,2:10:7,8 preparado normalmente por polimerização iniciada por radical livre usando um iniciador azo.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O peso molecular médio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 massa molar média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deste tipo de material varia de 15.000 a 35.000 (Jones;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Nichols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Pappas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, 2017). 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(99,9% m m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pureza) e o ZnO (99,5% m m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pureza), por sua vez, são os fotocatalisadores que funcionaram também como pigmentos para a tinta. As composições mássicas dos sólidos estudadas no trabalho foram: (a) composição 1 – 65% ZnO e 35%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(ZnO35TiO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); (b) composição 2 – 20% ZnO e 80%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(ZnO80TiO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); (c) composição 3 – 44% ZnO e 56%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(ZnO56TiO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). Já a composição 4 (teste branco) corresponde apenas à mistura entre o verniz e a água, para avaliar possível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fotólise</w:t>
      </w:r>
      <w:proofErr w:type="spellEnd"/>
      <w:r w:rsidR="00D35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direta da luz solar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60BDE" w14:textId="38B37538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Os óxidos foram pesados em balança analítica e, em seguida,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s misturas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óxidos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foram 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>homogeneizadas em moinho analítico (IKA A11 Basic) durante 60 min</w:t>
      </w:r>
      <w:r w:rsidR="00D35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>e posteriormente suspendida em água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>. Paralelamente,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o CMC e o PAA(NH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foram solubilizados em água deionizada. Na sequência, a solução foi misturada ao verniz utilizando agitador mecânico e simultaneamente com ultrassom. Finalmente, a mistura de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óxidos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pós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foi adicionada </w:t>
      </w:r>
      <w:r w:rsidRPr="00D35D4F">
        <w:rPr>
          <w:rFonts w:ascii="Times New Roman" w:eastAsia="Times New Roman" w:hAnsi="Times New Roman" w:cs="Times New Roman"/>
          <w:strike/>
          <w:sz w:val="24"/>
          <w:szCs w:val="24"/>
        </w:rPr>
        <w:t>permanecendo em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D4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sob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agitação para homogeneização durante 15 min.</w:t>
      </w:r>
    </w:p>
    <w:p w14:paraId="67E23C5B" w14:textId="7EE3BA7F" w:rsidR="004F729E" w:rsidRPr="0065548B" w:rsidRDefault="00D35D4F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Figura 1</w:t>
      </w:r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 xml:space="preserve"> é mostrada a estrutura montada para o processo de pintura das placas. Nesta etapa foram utilizados uma pistola de pintura </w:t>
      </w:r>
      <w:r w:rsidR="004F729E" w:rsidRPr="000047C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>De</w:t>
      </w:r>
      <w:r w:rsidR="004F729E">
        <w:rPr>
          <w:rFonts w:ascii="Times New Roman" w:eastAsia="Times New Roman" w:hAnsi="Times New Roman" w:cs="Times New Roman"/>
          <w:sz w:val="24"/>
          <w:szCs w:val="24"/>
        </w:rPr>
        <w:t>V</w:t>
      </w:r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>ilbiss</w:t>
      </w:r>
      <w:proofErr w:type="spellEnd"/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 xml:space="preserve"> JGA-503); um duplo filtro regulador de ar (</w:t>
      </w:r>
      <w:proofErr w:type="spellStart"/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>DeVilbiss</w:t>
      </w:r>
      <w:proofErr w:type="spellEnd"/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 xml:space="preserve"> FRC-600) e um compressor de ar (SCHULZ Classic </w:t>
      </w:r>
      <w:r w:rsidR="004F729E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29E" w:rsidRPr="00AC53D5">
        <w:rPr>
          <w:rFonts w:ascii="Times New Roman" w:eastAsia="Times New Roman" w:hAnsi="Times New Roman" w:cs="Times New Roman"/>
          <w:sz w:val="24"/>
          <w:szCs w:val="24"/>
        </w:rPr>
        <w:t xml:space="preserve"> Mobile MSL).</w:t>
      </w:r>
      <w:r w:rsidR="004F729E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0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65"/>
        <w:gridCol w:w="2270"/>
        <w:gridCol w:w="2265"/>
        <w:gridCol w:w="2270"/>
      </w:tblGrid>
      <w:tr w:rsidR="004F729E" w:rsidRPr="0065548B" w14:paraId="3AC928A5" w14:textId="77777777" w:rsidTr="00E45733">
        <w:tc>
          <w:tcPr>
            <w:tcW w:w="2265" w:type="dxa"/>
          </w:tcPr>
          <w:p w14:paraId="6D3260CC" w14:textId="77777777" w:rsidR="004F729E" w:rsidRPr="0065548B" w:rsidRDefault="004F729E" w:rsidP="00E45733">
            <w:pPr>
              <w:pStyle w:val="Contedodatabela"/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5" w:type="dxa"/>
            <w:gridSpan w:val="2"/>
          </w:tcPr>
          <w:p w14:paraId="40B867F9" w14:textId="77777777" w:rsidR="004F729E" w:rsidRPr="0065548B" w:rsidRDefault="004F729E" w:rsidP="00E45733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8B">
              <w:rPr>
                <w:noProof/>
                <w:lang w:eastAsia="pt-BR"/>
              </w:rPr>
              <w:drawing>
                <wp:inline distT="0" distB="0" distL="0" distR="0" wp14:anchorId="0FC31EAF" wp14:editId="4B7CD6DF">
                  <wp:extent cx="2809875" cy="2781935"/>
                  <wp:effectExtent l="0" t="0" r="0" b="0"/>
                  <wp:docPr id="1" name="Figur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7D798AA7" w14:textId="77777777" w:rsidR="004F729E" w:rsidRPr="0065548B" w:rsidRDefault="004F729E" w:rsidP="00E45733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29E" w:rsidRPr="0065548B" w14:paraId="3DF14F59" w14:textId="77777777" w:rsidTr="00E45733">
        <w:tc>
          <w:tcPr>
            <w:tcW w:w="4535" w:type="dxa"/>
            <w:gridSpan w:val="2"/>
          </w:tcPr>
          <w:p w14:paraId="52292512" w14:textId="77777777" w:rsidR="004F729E" w:rsidRPr="0065548B" w:rsidRDefault="004F729E" w:rsidP="00E45733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8B">
              <w:rPr>
                <w:noProof/>
                <w:lang w:eastAsia="pt-BR"/>
              </w:rPr>
              <w:drawing>
                <wp:inline distT="0" distB="0" distL="0" distR="0" wp14:anchorId="0F4C04CD" wp14:editId="7260F380">
                  <wp:extent cx="2809875" cy="3446145"/>
                  <wp:effectExtent l="0" t="0" r="0" b="0"/>
                  <wp:docPr id="2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4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2"/>
          </w:tcPr>
          <w:p w14:paraId="0F80094C" w14:textId="77777777" w:rsidR="004F729E" w:rsidRPr="0065548B" w:rsidRDefault="004F729E" w:rsidP="00E45733"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8B">
              <w:rPr>
                <w:noProof/>
                <w:lang w:eastAsia="pt-BR"/>
              </w:rPr>
              <w:drawing>
                <wp:inline distT="0" distB="0" distL="0" distR="0" wp14:anchorId="0C6A7D33" wp14:editId="6C51BF34">
                  <wp:extent cx="2809875" cy="3764915"/>
                  <wp:effectExtent l="0" t="0" r="0" b="0"/>
                  <wp:docPr id="3" name="Figur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6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DDFA6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 Estrutura do Laboratório de Pintura montado para o presente trabalho. (</w:t>
      </w: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Sistema de pintura, onde: (A)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porta-amostra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; (B) carro-móvel com a pistola de pintura; (C) estrutura fixa. (</w:t>
      </w: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Vista frontal do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porta-amostras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com uma placa de aço galvanizado de 750 </w:t>
      </w:r>
      <w:proofErr w:type="gramStart"/>
      <w:r w:rsidRPr="0065548B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gram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250 x 0,5 mm, com as seis regulagens de altura. (</w:t>
      </w: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Vista lateral do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porta-amostras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com as seis regulagens de altura e linha de referência.</w:t>
      </w:r>
    </w:p>
    <w:p w14:paraId="10F9C6BD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9F5A2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As Figuras 1(b) e 1(c) mostram os seis pontos de ajuste de alturas do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porta-amostra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igualmente espaçados em 5 cm para cada ajuste, para aplicação da técnica de pintura de sobreposição. A posição de altura número 1 utiliza um suporte metálico maciço com altura de 2,5 cm e resulta em uma distância total de 25 cm entre a extremidade superior da placa metálica e a linha de referência (marcada em azul na Figura 1(c)). Pela </w:t>
      </w:r>
      <w:commentRangeStart w:id="14"/>
      <w:r w:rsidRPr="0065548B">
        <w:rPr>
          <w:rFonts w:ascii="Times New Roman" w:eastAsia="Times New Roman" w:hAnsi="Times New Roman" w:cs="Times New Roman"/>
          <w:sz w:val="24"/>
          <w:szCs w:val="24"/>
        </w:rPr>
        <w:t>remoção</w:t>
      </w:r>
      <w:commentRangeEnd w:id="14"/>
      <w:r w:rsidR="00D35D4F">
        <w:rPr>
          <w:rStyle w:val="Refdecomentrio"/>
        </w:rPr>
        <w:commentReference w:id="14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do suporte metálico maciço da altura número 1 é obtida a altura 2. Para obtenção da altura número 3 é sequencialmente removido o suporte número 2, e para obtenção da altura número 4 é removido sequencialmente o suporte número 3. Para obtenção da altura número 5, sequencialmente a extremidade inferior da placa é posicionada na posição 5, e para obtenção da altura número 6, a extremidade inferior da placa é posicionada na posição 6.</w:t>
      </w:r>
    </w:p>
    <w:p w14:paraId="056131CE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distância adotada entre a linha de referência e o bico da pistola foi de 20 cm. As suspensões foram aplicadas por pulverização horizontal em quatro diferentes placas de aço galvanizado, com dimensões fixas de 750 </w:t>
      </w:r>
      <w:proofErr w:type="gramStart"/>
      <w:r w:rsidRPr="0065548B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gram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250 x 0,5 mm (Figura 1(b)). O leque vertical da pistola de pintura foi ajustado com altura igual a 5,0 cm. Para a aplicação da primeira passada da primeira camada, foram realizadas as seguintes etapas: (i) posicionou-se a placa de aço galvanizado na altura 1;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) encaixou-se firmemente a pistola de pintura no carro-móvel (posicionado a 90º em relação a placa de aço galvanizado);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iii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) alinhou-se o carro-móvel à esquerda (início) da estrutura fixa; e, por fim, (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percorreu-se a distância de 750 mm pelo trilho com velocidade uniforme por um tempo igual a 4,0 segundos com o gatilho acionado até o limite da pressão utilizada, da esquerda para a direita; (v) 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porta-amostra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é ajustado para a altura 2, e a passada é realizada no sentido contrário (direita para esquerda), e assim sucessivamente até a altura 6. Após </w:t>
      </w:r>
      <w:r>
        <w:rPr>
          <w:rFonts w:ascii="Times New Roman" w:eastAsia="Times New Roman" w:hAnsi="Times New Roman" w:cs="Times New Roman"/>
          <w:sz w:val="24"/>
          <w:szCs w:val="24"/>
        </w:rPr>
        <w:t>completas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as passadas nas 6 diferentes alturas, é </w:t>
      </w:r>
      <w:r>
        <w:rPr>
          <w:rFonts w:ascii="Times New Roman" w:eastAsia="Times New Roman" w:hAnsi="Times New Roman" w:cs="Times New Roman"/>
          <w:sz w:val="24"/>
          <w:szCs w:val="24"/>
        </w:rPr>
        <w:t>finalizada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 primeira camada.</w:t>
      </w:r>
    </w:p>
    <w:p w14:paraId="7CC0592A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Figura </w:t>
      </w:r>
      <w:proofErr w:type="gramStart"/>
      <w:r w:rsidRPr="0065548B">
        <w:rPr>
          <w:rFonts w:ascii="Times New Roman" w:eastAsia="Times New Roman" w:hAnsi="Times New Roman" w:cs="Times New Roman"/>
          <w:sz w:val="24"/>
          <w:szCs w:val="24"/>
        </w:rPr>
        <w:t>2 mostra</w:t>
      </w:r>
      <w:proofErr w:type="gram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esquematicamente o posicionamento das alturas 1 a 6 na placa de aço galvanizado, </w:t>
      </w:r>
      <w:r>
        <w:rPr>
          <w:rFonts w:ascii="Times New Roman" w:eastAsia="Times New Roman" w:hAnsi="Times New Roman" w:cs="Times New Roman"/>
          <w:sz w:val="24"/>
          <w:szCs w:val="24"/>
        </w:rPr>
        <w:t>assim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como o sentido da passada. Com o esquema descrito, cada passada em uma determinada altura possui uma sobreposição do leque de 50% em relação à altura inferior. Foram aplicadas 9 camadas de suspensão pela técnica de sobreposição de camadas, sendo que a primeira camada foi do tipo semiúmida, isto é, deposição de um filme de tinta uniforme onde as gotículas depositadas não coalescem formando um filme contínuo, com pressão na pistola a 40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psi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; e, as oito demais, do tipo úmida, isto é, a deposição de um filme de tinta uniforme 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>onde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as gotículas depositadas coalescem e formam um filme contínuo, com pressão na pistola a 20 </w:t>
      </w:r>
      <w:proofErr w:type="spellStart"/>
      <w:r w:rsidRPr="00AC53D5">
        <w:rPr>
          <w:rFonts w:ascii="Times New Roman" w:eastAsia="Times New Roman" w:hAnsi="Times New Roman" w:cs="Times New Roman"/>
          <w:sz w:val="24"/>
          <w:szCs w:val="24"/>
        </w:rPr>
        <w:t>psi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>. As espessuras ao final das aplicações foram medidas com micrometro digital (</w:t>
      </w:r>
      <w:proofErr w:type="spellStart"/>
      <w:r w:rsidRPr="00AC53D5">
        <w:rPr>
          <w:rFonts w:ascii="Times New Roman" w:eastAsia="Times New Roman" w:hAnsi="Times New Roman" w:cs="Times New Roman"/>
          <w:sz w:val="24"/>
          <w:szCs w:val="24"/>
        </w:rPr>
        <w:t>Mitutoyo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>), tendo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como espessura média obtida de 600 ± 80 µm.</w:t>
      </w:r>
    </w:p>
    <w:p w14:paraId="7A299C56" w14:textId="77777777" w:rsidR="004F729E" w:rsidRPr="0065548B" w:rsidRDefault="004F729E" w:rsidP="004F7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lastRenderedPageBreak/>
        <w:drawing>
          <wp:inline distT="0" distB="0" distL="0" distR="0" wp14:anchorId="17211824" wp14:editId="6BA7E66E">
            <wp:extent cx="3990975" cy="335280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539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F87A7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 Esquema sem escala das passadas com a pistola de pintura sobre a placa de aço galvanizado, nas alturas 1 a 6, para completar uma camada</w:t>
      </w:r>
    </w:p>
    <w:p w14:paraId="50E3E79C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239329F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757EDA0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2.2 Ensaio </w:t>
      </w:r>
      <w:commentRangeStart w:id="15"/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fotocatalítico</w:t>
      </w:r>
      <w:commentRangeEnd w:id="15"/>
      <w:r w:rsidR="00D35D4F">
        <w:rPr>
          <w:rStyle w:val="Refdecomentrio"/>
        </w:rPr>
        <w:commentReference w:id="15"/>
      </w:r>
    </w:p>
    <w:p w14:paraId="03441A99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D22A4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Para os ensaios fotocatalíticos foi coletado o lixiviado no aterro sanitário da cidade de Cachoeira Paulista (SP-Brasil) (22°39’4’’S, 45°3’18’’W). O volume de 100 L de lixiviado coletado foi homogeneizado através de agitação mecânica e acondicionado em uma câmara fria a 4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ºC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até o momento da sua utilização. Os ensaios foram realizados em reatores solares do 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tipo </w:t>
      </w:r>
      <w:proofErr w:type="spellStart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thin</w:t>
      </w:r>
      <w:proofErr w:type="spellEnd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film</w:t>
      </w:r>
      <w:proofErr w:type="spellEnd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fixed</w:t>
      </w:r>
      <w:proofErr w:type="spellEnd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bed</w:t>
      </w:r>
      <w:proofErr w:type="spellEnd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reactor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(TFFBR), que operaram em sistema </w:t>
      </w:r>
      <w:proofErr w:type="spellStart"/>
      <w:r w:rsidRPr="00AC53D5">
        <w:rPr>
          <w:rFonts w:ascii="Times New Roman" w:eastAsia="Times New Roman" w:hAnsi="Times New Roman" w:cs="Times New Roman"/>
          <w:sz w:val="24"/>
          <w:szCs w:val="24"/>
        </w:rPr>
        <w:t>semi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>contínuo</w:t>
      </w:r>
      <w:proofErr w:type="spellEnd"/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e em escala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bancada, sendo posicionados no sentido da linha do Equador com um ângulo de inclinação de 23° (Figura 3). O volume de lixiviado </w:t>
      </w:r>
      <w:r w:rsidRPr="0065548B">
        <w:rPr>
          <w:rFonts w:ascii="Times New Roman" w:eastAsia="Times New Roman" w:hAnsi="Times New Roman" w:cs="Times New Roman"/>
          <w:i/>
          <w:sz w:val="24"/>
          <w:szCs w:val="24"/>
        </w:rPr>
        <w:t>in natura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utilizado durante os experimentos foi igual a 3 L. A operação manteve uma vazão de 12 a 13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min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ocorreu no intervalo entre 11h00 e 15h00 durante 5 dias de operação no outono, com tempo ensolarado e temperatura variando entre 28 e 32 °C e irradiação solar entre 750 e 872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mJ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² medida pelo radiômetro ILT 1400ª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Light. A taxa média de evaporação do lixiviado em um ciclo experimental foi de 160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mL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sendo esse mesmo volume reposto em água durante a fotocatálise. O ajuste de pH para cada nível </w:t>
      </w:r>
      <w:r w:rsidRPr="00B94BBA">
        <w:rPr>
          <w:rFonts w:ascii="Times New Roman" w:eastAsia="Times New Roman" w:hAnsi="Times New Roman" w:cs="Times New Roman"/>
          <w:strike/>
          <w:sz w:val="24"/>
          <w:szCs w:val="24"/>
        </w:rPr>
        <w:t>operação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ocorreu a partir da medida do pH do lixiviado </w:t>
      </w:r>
      <w:r w:rsidRPr="00AC53D5">
        <w:rPr>
          <w:rFonts w:ascii="Times New Roman" w:eastAsia="Times New Roman" w:hAnsi="Times New Roman" w:cs="Times New Roman"/>
          <w:i/>
          <w:sz w:val="24"/>
          <w:szCs w:val="24"/>
        </w:rPr>
        <w:t>in natura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(sempre alcalino, entre 7,8 e 8,0) e respectiva correção por meio da adição de pequenas porções de ácido sulfúrico (H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 98 % m m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sob agitação manual; também, durantes as reações fotocatalíticas, as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lastRenderedPageBreak/>
        <w:t>correções do pH foram realizadas com solução de H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548B">
        <w:rPr>
          <w:rFonts w:ascii="Times New Roman" w:eastAsia="Times New Roman" w:hAnsi="Times New Roman" w:cs="Times New Roman"/>
          <w:sz w:val="24"/>
          <w:szCs w:val="24"/>
        </w:rPr>
        <w:t>10 mol</w:t>
      </w:r>
      <w:proofErr w:type="gram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diretamente no reservatório do reator. Alíquotas do reservatório foram </w:t>
      </w:r>
      <w:r>
        <w:rPr>
          <w:rFonts w:ascii="Times New Roman" w:eastAsia="Times New Roman" w:hAnsi="Times New Roman" w:cs="Times New Roman"/>
          <w:sz w:val="24"/>
          <w:szCs w:val="24"/>
        </w:rPr>
        <w:t>coletadas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 cada 20 min para controle e ajuste durante a operação. Durante o processo fotocatalítico, as coletas do lixiviado tratado foram realizadas a cada 5 min durante os primeiros 20 min e, depois, a cada 10 min, durante 240 min, totalizando 26 amostras por experimento.</w:t>
      </w:r>
    </w:p>
    <w:p w14:paraId="00E6DD3A" w14:textId="77777777" w:rsidR="004F729E" w:rsidRPr="0065548B" w:rsidRDefault="004F729E" w:rsidP="004F7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40037F" wp14:editId="69D2EA96">
            <wp:extent cx="1457325" cy="2152650"/>
            <wp:effectExtent l="0" t="0" r="0" b="0"/>
            <wp:docPr id="2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1B6EA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3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Reator solar do tipo TFFBR utilizado no processo de fotocatálise heterogênea solar.</w:t>
      </w:r>
    </w:p>
    <w:p w14:paraId="2992F55E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BEBA2" w14:textId="5E3C27A9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Para verificar possíveis efeitos de degradação por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fotólise</w:t>
      </w:r>
      <w:proofErr w:type="spellEnd"/>
      <w:r w:rsidR="00B94B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4BBA" w:rsidRPr="00B94BBA">
        <w:rPr>
          <w:rFonts w:ascii="Times New Roman" w:eastAsia="Times New Roman" w:hAnsi="Times New Roman" w:cs="Times New Roman"/>
          <w:color w:val="FF0000"/>
          <w:sz w:val="24"/>
          <w:szCs w:val="24"/>
        </w:rPr>
        <w:t>não catalisada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foi realizado um teste </w:t>
      </w:r>
      <w:r w:rsidR="00B94B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controle </w:t>
      </w:r>
      <w:r w:rsidRPr="00B94BBA">
        <w:rPr>
          <w:rFonts w:ascii="Times New Roman" w:eastAsia="Times New Roman" w:hAnsi="Times New Roman" w:cs="Times New Roman"/>
          <w:strike/>
          <w:sz w:val="24"/>
          <w:szCs w:val="24"/>
        </w:rPr>
        <w:t>branco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(sem a incorporação dos óxidos e aditivos), coletando somente uma alíquota da amostra no início e outra ao final do período de reação (240 min). As condições ambientais foram similares dos demais experimentos (temperatura, volume de lixiviado e irradiação solar). O teste </w:t>
      </w:r>
      <w:r w:rsidR="00B94BB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controle </w:t>
      </w:r>
      <w:r w:rsidRPr="00B94BBA">
        <w:rPr>
          <w:rFonts w:ascii="Times New Roman" w:eastAsia="Times New Roman" w:hAnsi="Times New Roman" w:cs="Times New Roman"/>
          <w:strike/>
          <w:sz w:val="24"/>
          <w:szCs w:val="24"/>
        </w:rPr>
        <w:t>branco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indicou a ausência de reação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fotolítica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EB64D4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87F956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2.3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Análise dos fenóis presentes n</w:t>
      </w: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as substâncias húmicas</w:t>
      </w:r>
    </w:p>
    <w:p w14:paraId="18753202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0C416E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A caracterização analítica das </w:t>
      </w:r>
      <w:r w:rsidRPr="006E7E3C">
        <w:rPr>
          <w:rFonts w:ascii="Times New Roman" w:eastAsia="Times New Roman" w:hAnsi="Times New Roman" w:cs="Times New Roman"/>
          <w:sz w:val="24"/>
          <w:szCs w:val="24"/>
        </w:rPr>
        <w:t>substâncias</w:t>
      </w:r>
      <w:r w:rsidRPr="00AC53D5">
        <w:rPr>
          <w:rFonts w:ascii="Times New Roman" w:eastAsia="Times New Roman" w:hAnsi="Times New Roman" w:cs="Times New Roman"/>
          <w:sz w:val="24"/>
          <w:szCs w:val="24"/>
        </w:rPr>
        <w:t xml:space="preserve"> húmicas foi fundamentada pelo Método de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Lowry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modificado na reação de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Ciocalteau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adaptado do trabalho de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Pontoni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et al (2017). Cabe ressaltar que foram avaliados os ácidos húmicos (AH) em separado dos ácidos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fúlvicos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(AF) e </w:t>
      </w:r>
      <w:commentRangeStart w:id="16"/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huminas</w:t>
      </w:r>
      <w:commentRangeEnd w:id="16"/>
      <w:proofErr w:type="spellEnd"/>
      <w:r w:rsidR="00B94BBA">
        <w:rPr>
          <w:rStyle w:val="Refdecomentrio"/>
        </w:rPr>
        <w:commentReference w:id="16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A primeira etapa envolveu o preparo dos reagentes a serem utilizados nessa análise: solução de H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SO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(1:1 v/v), solução de H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SO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(0,5 </w:t>
      </w:r>
      <w:proofErr w:type="spellStart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eq</w:t>
      </w:r>
      <w:proofErr w:type="spellEnd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L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</w:rPr>
        <w:t>-1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), solução de NH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OH (5 </w:t>
      </w:r>
      <w:proofErr w:type="spellStart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eq</w:t>
      </w:r>
      <w:proofErr w:type="spellEnd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L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</w:rPr>
        <w:t>-1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), solução de </w:t>
      </w:r>
      <w:proofErr w:type="spellStart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Folin</w:t>
      </w:r>
      <w:proofErr w:type="spellEnd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e solução de Na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CO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3</w:t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. Após o preparo dos reagentes, foi possível o início da análise que envolveu as etapas de 1 a 13 apresentadas na Figura </w:t>
      </w:r>
      <w:commentRangeStart w:id="17"/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4</w:t>
      </w:r>
      <w:commentRangeEnd w:id="17"/>
      <w:r w:rsidR="00B94BBA">
        <w:rPr>
          <w:rStyle w:val="Refdecomentrio"/>
        </w:rPr>
        <w:commentReference w:id="17"/>
      </w:r>
      <w:r w:rsidRPr="00B94BBA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14:paraId="6836F678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A4DCF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lastRenderedPageBreak/>
        <w:drawing>
          <wp:inline distT="0" distB="0" distL="0" distR="0" wp14:anchorId="5B7E7952" wp14:editId="1E013028">
            <wp:extent cx="5622290" cy="306514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CD78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drawing>
          <wp:inline distT="0" distB="0" distL="0" distR="0" wp14:anchorId="2EA1418E" wp14:editId="7B5CA1F3">
            <wp:extent cx="5622290" cy="3371215"/>
            <wp:effectExtent l="0" t="0" r="0" b="0"/>
            <wp:docPr id="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7B8B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drawing>
          <wp:inline distT="0" distB="0" distL="0" distR="0" wp14:anchorId="2BBDDE6A" wp14:editId="2E0A5B28">
            <wp:extent cx="5622290" cy="2228850"/>
            <wp:effectExtent l="0" t="0" r="0" b="0"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C38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Figura 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Etapas de separação das substâncias húmicas (1-9), reação de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Folin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(10-11), Espectrofotometria (12) e armazenamento das amostras após análise (</w:t>
      </w:r>
      <w:commentRangeStart w:id="18"/>
      <w:r w:rsidRPr="0065548B">
        <w:rPr>
          <w:rFonts w:ascii="Times New Roman" w:eastAsia="Times New Roman" w:hAnsi="Times New Roman" w:cs="Times New Roman"/>
          <w:sz w:val="24"/>
          <w:szCs w:val="24"/>
        </w:rPr>
        <w:t>13</w:t>
      </w:r>
      <w:commentRangeEnd w:id="18"/>
      <w:r w:rsidR="00B94BBA">
        <w:rPr>
          <w:rStyle w:val="Refdecomentrio"/>
        </w:rPr>
        <w:commentReference w:id="18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274F714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377FB9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2.3 Design </w:t>
      </w:r>
      <w:proofErr w:type="spellStart"/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experiments</w:t>
      </w:r>
      <w:proofErr w:type="spellEnd"/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 (DOE)</w:t>
      </w:r>
    </w:p>
    <w:p w14:paraId="782BC4A7" w14:textId="77777777" w:rsidR="004F729E" w:rsidRPr="0065548B" w:rsidRDefault="004F729E" w:rsidP="004F7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442F6" w14:textId="1685D804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Como fatores e níveis, foram estudadas três composições de 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 três </w:t>
      </w:r>
      <w:r>
        <w:rPr>
          <w:rFonts w:ascii="Times New Roman" w:eastAsia="Times New Roman" w:hAnsi="Times New Roman" w:cs="Times New Roman"/>
          <w:sz w:val="24"/>
          <w:szCs w:val="24"/>
        </w:rPr>
        <w:t>faixas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pH, conforme indicado pela Tabela 3. Como ferramenta estatística foi utilizado o planejamento de experimentos do tipo fatorial completo de 2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com réplicas de cada experimento e com duplicata no ponto central, totalizando 10 experimentos (Tabela 4). </w:t>
      </w:r>
      <w:r w:rsidRPr="00B94BBA">
        <w:rPr>
          <w:rFonts w:ascii="Times New Roman" w:eastAsia="Times New Roman" w:hAnsi="Times New Roman" w:cs="Times New Roman"/>
          <w:strike/>
          <w:sz w:val="24"/>
          <w:szCs w:val="24"/>
        </w:rPr>
        <w:t>Nessa tabela,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94BBA" w:rsidRPr="0065548B"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gramEnd"/>
      <w:r w:rsidR="00B94BBA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experimentos com níveis idênticos para os fatores foram agrupados, resultando nas condições experimentais I a V.</w:t>
      </w:r>
    </w:p>
    <w:p w14:paraId="0429C0CC" w14:textId="77777777" w:rsidR="004F729E" w:rsidRPr="0065548B" w:rsidRDefault="004F729E" w:rsidP="004F729E">
      <w:pPr>
        <w:keepNext/>
        <w:spacing w:after="0" w:line="360" w:lineRule="auto"/>
        <w:jc w:val="center"/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Tabela 3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– Fatores e respectivos níveis estudados neste trabalho.</w:t>
      </w:r>
    </w:p>
    <w:tbl>
      <w:tblPr>
        <w:tblStyle w:val="a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3"/>
        <w:gridCol w:w="2302"/>
        <w:gridCol w:w="2303"/>
        <w:gridCol w:w="2302"/>
      </w:tblGrid>
      <w:tr w:rsidR="004F729E" w:rsidRPr="0065548B" w14:paraId="361F43D0" w14:textId="77777777" w:rsidTr="00E45733">
        <w:tc>
          <w:tcPr>
            <w:tcW w:w="2303" w:type="dxa"/>
            <w:vMerge w:val="restart"/>
            <w:vAlign w:val="center"/>
          </w:tcPr>
          <w:p w14:paraId="50D5F506" w14:textId="77777777" w:rsidR="004F729E" w:rsidRPr="0065548B" w:rsidRDefault="004F729E" w:rsidP="00E45733">
            <w:pPr>
              <w:keepNext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Fatores</w:t>
            </w:r>
          </w:p>
        </w:tc>
        <w:tc>
          <w:tcPr>
            <w:tcW w:w="6907" w:type="dxa"/>
            <w:gridSpan w:val="3"/>
            <w:vAlign w:val="center"/>
          </w:tcPr>
          <w:p w14:paraId="3B25D9BF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Níveis</w:t>
            </w:r>
          </w:p>
        </w:tc>
      </w:tr>
      <w:tr w:rsidR="004F729E" w:rsidRPr="0065548B" w14:paraId="0BAFA4B5" w14:textId="77777777" w:rsidTr="00E45733">
        <w:tc>
          <w:tcPr>
            <w:tcW w:w="2303" w:type="dxa"/>
            <w:vMerge/>
            <w:vAlign w:val="center"/>
          </w:tcPr>
          <w:p w14:paraId="68794AB7" w14:textId="77777777" w:rsidR="004F729E" w:rsidRPr="0065548B" w:rsidRDefault="004F729E" w:rsidP="00E45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10344B9D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(-)</w:t>
            </w:r>
          </w:p>
        </w:tc>
        <w:tc>
          <w:tcPr>
            <w:tcW w:w="2303" w:type="dxa"/>
            <w:vAlign w:val="center"/>
          </w:tcPr>
          <w:p w14:paraId="4145868C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(0)</w:t>
            </w:r>
          </w:p>
        </w:tc>
        <w:tc>
          <w:tcPr>
            <w:tcW w:w="2302" w:type="dxa"/>
            <w:vAlign w:val="center"/>
          </w:tcPr>
          <w:p w14:paraId="234791C3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(+)</w:t>
            </w:r>
          </w:p>
        </w:tc>
      </w:tr>
      <w:tr w:rsidR="004F729E" w:rsidRPr="0065548B" w14:paraId="549084A9" w14:textId="77777777" w:rsidTr="00E45733">
        <w:tc>
          <w:tcPr>
            <w:tcW w:w="2303" w:type="dxa"/>
          </w:tcPr>
          <w:p w14:paraId="6C4E7670" w14:textId="77777777" w:rsidR="004F729E" w:rsidRPr="0065548B" w:rsidRDefault="004F729E" w:rsidP="00E45733">
            <w:pPr>
              <w:keepNext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[ZnO-TiO2]</w:t>
            </w:r>
          </w:p>
        </w:tc>
        <w:tc>
          <w:tcPr>
            <w:tcW w:w="2302" w:type="dxa"/>
          </w:tcPr>
          <w:p w14:paraId="192299DB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ZnO80TiO</w:t>
            </w: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303" w:type="dxa"/>
          </w:tcPr>
          <w:p w14:paraId="5F752113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ZnO56TiO</w:t>
            </w: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302" w:type="dxa"/>
          </w:tcPr>
          <w:p w14:paraId="2B82D0C9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ZnO35TiO</w:t>
            </w: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</w:tr>
      <w:tr w:rsidR="004F729E" w:rsidRPr="0065548B" w14:paraId="56D595EA" w14:textId="77777777" w:rsidTr="00E45733">
        <w:tc>
          <w:tcPr>
            <w:tcW w:w="2303" w:type="dxa"/>
          </w:tcPr>
          <w:p w14:paraId="473E38D6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[pH]</w:t>
            </w:r>
          </w:p>
        </w:tc>
        <w:tc>
          <w:tcPr>
            <w:tcW w:w="2302" w:type="dxa"/>
          </w:tcPr>
          <w:p w14:paraId="391743BB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Ácido (4,5-5,0)</w:t>
            </w:r>
          </w:p>
        </w:tc>
        <w:tc>
          <w:tcPr>
            <w:tcW w:w="2303" w:type="dxa"/>
          </w:tcPr>
          <w:p w14:paraId="4C8E3C8B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Neutro (6,0-6,5)</w:t>
            </w:r>
          </w:p>
        </w:tc>
        <w:tc>
          <w:tcPr>
            <w:tcW w:w="2302" w:type="dxa"/>
          </w:tcPr>
          <w:p w14:paraId="07B571A6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Alcalino (7,5-8,0)</w:t>
            </w:r>
          </w:p>
        </w:tc>
      </w:tr>
    </w:tbl>
    <w:p w14:paraId="5AE51D14" w14:textId="77777777" w:rsidR="004F729E" w:rsidRPr="0065548B" w:rsidRDefault="004F729E" w:rsidP="004F729E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977C3" w14:textId="77777777" w:rsidR="004F729E" w:rsidRPr="0065548B" w:rsidRDefault="004F729E" w:rsidP="004F729E">
      <w:pPr>
        <w:keepNext/>
        <w:spacing w:after="0" w:line="360" w:lineRule="auto"/>
        <w:jc w:val="center"/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Tabela 4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– Experimentos, fatores e níveis estudados neste trabalho.</w:t>
      </w:r>
    </w:p>
    <w:tbl>
      <w:tblPr>
        <w:tblStyle w:val="a3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2"/>
        <w:gridCol w:w="2533"/>
        <w:gridCol w:w="2280"/>
        <w:gridCol w:w="2321"/>
      </w:tblGrid>
      <w:tr w:rsidR="004F729E" w:rsidRPr="0065548B" w14:paraId="6A7F2532" w14:textId="77777777" w:rsidTr="00E45733">
        <w:tc>
          <w:tcPr>
            <w:tcW w:w="2152" w:type="dxa"/>
            <w:vMerge w:val="restart"/>
            <w:vAlign w:val="center"/>
          </w:tcPr>
          <w:p w14:paraId="7494321A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Condições</w:t>
            </w:r>
          </w:p>
        </w:tc>
        <w:tc>
          <w:tcPr>
            <w:tcW w:w="2533" w:type="dxa"/>
            <w:vMerge w:val="restart"/>
            <w:vAlign w:val="center"/>
          </w:tcPr>
          <w:p w14:paraId="74530D79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Experimentos</w:t>
            </w:r>
          </w:p>
        </w:tc>
        <w:tc>
          <w:tcPr>
            <w:tcW w:w="4601" w:type="dxa"/>
            <w:gridSpan w:val="2"/>
            <w:vAlign w:val="center"/>
          </w:tcPr>
          <w:p w14:paraId="3138C8E1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Fatores</w:t>
            </w:r>
          </w:p>
        </w:tc>
      </w:tr>
      <w:tr w:rsidR="004F729E" w:rsidRPr="0065548B" w14:paraId="2D5DDC78" w14:textId="77777777" w:rsidTr="00E45733">
        <w:tc>
          <w:tcPr>
            <w:tcW w:w="2152" w:type="dxa"/>
            <w:vMerge/>
            <w:vAlign w:val="center"/>
          </w:tcPr>
          <w:p w14:paraId="2AC2D79E" w14:textId="77777777" w:rsidR="004F729E" w:rsidRPr="0065548B" w:rsidRDefault="004F729E" w:rsidP="00E45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3" w:type="dxa"/>
            <w:vMerge/>
            <w:vAlign w:val="center"/>
          </w:tcPr>
          <w:p w14:paraId="0FD683D2" w14:textId="77777777" w:rsidR="004F729E" w:rsidRPr="0065548B" w:rsidRDefault="004F729E" w:rsidP="00E45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338BC457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[pH]</w:t>
            </w:r>
          </w:p>
        </w:tc>
        <w:tc>
          <w:tcPr>
            <w:tcW w:w="2321" w:type="dxa"/>
            <w:vAlign w:val="center"/>
          </w:tcPr>
          <w:p w14:paraId="13F8082A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[ZnO-TiO</w:t>
            </w: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655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]</w:t>
            </w:r>
          </w:p>
        </w:tc>
      </w:tr>
      <w:tr w:rsidR="004F729E" w:rsidRPr="0065548B" w14:paraId="23CAD2DF" w14:textId="77777777" w:rsidTr="00E45733">
        <w:tc>
          <w:tcPr>
            <w:tcW w:w="2152" w:type="dxa"/>
          </w:tcPr>
          <w:p w14:paraId="04DFBDB1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533" w:type="dxa"/>
            <w:vAlign w:val="center"/>
          </w:tcPr>
          <w:p w14:paraId="167CD777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1 e 5</w:t>
            </w:r>
          </w:p>
        </w:tc>
        <w:tc>
          <w:tcPr>
            <w:tcW w:w="2280" w:type="dxa"/>
            <w:vAlign w:val="center"/>
          </w:tcPr>
          <w:p w14:paraId="4E62B17E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21" w:type="dxa"/>
            <w:vAlign w:val="center"/>
          </w:tcPr>
          <w:p w14:paraId="3B4010A1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F729E" w:rsidRPr="0065548B" w14:paraId="0350C01C" w14:textId="77777777" w:rsidTr="00E45733">
        <w:tc>
          <w:tcPr>
            <w:tcW w:w="2152" w:type="dxa"/>
          </w:tcPr>
          <w:p w14:paraId="37087B72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2533" w:type="dxa"/>
            <w:vAlign w:val="center"/>
          </w:tcPr>
          <w:p w14:paraId="5B74945C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2 e 6</w:t>
            </w:r>
          </w:p>
        </w:tc>
        <w:tc>
          <w:tcPr>
            <w:tcW w:w="2280" w:type="dxa"/>
            <w:vAlign w:val="center"/>
          </w:tcPr>
          <w:p w14:paraId="226C865C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21" w:type="dxa"/>
            <w:vAlign w:val="center"/>
          </w:tcPr>
          <w:p w14:paraId="386B3158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4F729E" w:rsidRPr="0065548B" w14:paraId="6A0CA26C" w14:textId="77777777" w:rsidTr="00E45733">
        <w:tc>
          <w:tcPr>
            <w:tcW w:w="2152" w:type="dxa"/>
          </w:tcPr>
          <w:p w14:paraId="4BE69C0E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533" w:type="dxa"/>
            <w:vAlign w:val="center"/>
          </w:tcPr>
          <w:p w14:paraId="68FDB388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3 e 7</w:t>
            </w:r>
          </w:p>
        </w:tc>
        <w:tc>
          <w:tcPr>
            <w:tcW w:w="2280" w:type="dxa"/>
            <w:vAlign w:val="center"/>
          </w:tcPr>
          <w:p w14:paraId="67DD4F35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321" w:type="dxa"/>
            <w:vAlign w:val="center"/>
          </w:tcPr>
          <w:p w14:paraId="30348630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F729E" w:rsidRPr="0065548B" w14:paraId="1A1261A5" w14:textId="77777777" w:rsidTr="00E45733">
        <w:tc>
          <w:tcPr>
            <w:tcW w:w="2152" w:type="dxa"/>
          </w:tcPr>
          <w:p w14:paraId="01BFF1EA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2533" w:type="dxa"/>
            <w:vAlign w:val="center"/>
          </w:tcPr>
          <w:p w14:paraId="3BB047F8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4 e 8</w:t>
            </w:r>
          </w:p>
        </w:tc>
        <w:tc>
          <w:tcPr>
            <w:tcW w:w="2280" w:type="dxa"/>
            <w:vAlign w:val="center"/>
          </w:tcPr>
          <w:p w14:paraId="74C5C424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321" w:type="dxa"/>
            <w:vAlign w:val="center"/>
          </w:tcPr>
          <w:p w14:paraId="6202A21F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4F729E" w:rsidRPr="0065548B" w14:paraId="61031526" w14:textId="77777777" w:rsidTr="00E45733">
        <w:tc>
          <w:tcPr>
            <w:tcW w:w="2152" w:type="dxa"/>
          </w:tcPr>
          <w:p w14:paraId="4E38BD60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2533" w:type="dxa"/>
            <w:vAlign w:val="center"/>
          </w:tcPr>
          <w:p w14:paraId="71C5DBD2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9 e 10</w:t>
            </w:r>
          </w:p>
        </w:tc>
        <w:tc>
          <w:tcPr>
            <w:tcW w:w="2280" w:type="dxa"/>
            <w:vAlign w:val="center"/>
          </w:tcPr>
          <w:p w14:paraId="4E8F0039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21" w:type="dxa"/>
            <w:vAlign w:val="center"/>
          </w:tcPr>
          <w:p w14:paraId="5F086B23" w14:textId="77777777" w:rsidR="004F729E" w:rsidRPr="0065548B" w:rsidRDefault="004F729E" w:rsidP="00E45733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48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4E4F412C" w14:textId="77777777" w:rsidR="004F729E" w:rsidRPr="0065548B" w:rsidRDefault="004F729E" w:rsidP="004F72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84242D" w14:textId="77777777" w:rsidR="004F729E" w:rsidRPr="0065548B" w:rsidRDefault="004F729E" w:rsidP="004F72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Equação 1 representa um cálculo utilizado para determinação da eficiência da remoção de </w:t>
      </w:r>
      <w:r>
        <w:rPr>
          <w:rFonts w:ascii="Times New Roman" w:eastAsia="Times New Roman" w:hAnsi="Times New Roman" w:cs="Times New Roman"/>
          <w:sz w:val="24"/>
          <w:szCs w:val="24"/>
        </w:rPr>
        <w:t>fenóis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lixiviados de aterro para amostras de AH, AF e huminas. Os resultados obtidos pela equação foram plotados em forma de gráficos no software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DataGraph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4.6.1. Além disto, realizou-se uma análise de variância desses resultados por meio do software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MiniTAB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Release 16.</w:t>
      </w:r>
    </w:p>
    <w:tbl>
      <w:tblPr>
        <w:tblStyle w:val="a4"/>
        <w:tblW w:w="87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4"/>
        <w:gridCol w:w="983"/>
      </w:tblGrid>
      <w:tr w:rsidR="004F729E" w:rsidRPr="0065548B" w14:paraId="6134A782" w14:textId="77777777" w:rsidTr="00E45733">
        <w:trPr>
          <w:jc w:val="center"/>
        </w:trPr>
        <w:tc>
          <w:tcPr>
            <w:tcW w:w="7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CC177" w14:textId="77777777" w:rsidR="004F729E" w:rsidRPr="0065548B" w:rsidRDefault="00650B3C" w:rsidP="00E45733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Fenóis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%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Fenol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Fenol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Fenol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Cambria Math" w:hAnsi="Cambria Math" w:cs="Cambria Math"/>
                  </w:rPr>
                  <m:t>.100%</m:t>
                </m:r>
              </m:oMath>
            </m:oMathPara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6DA61" w14:textId="77777777" w:rsidR="004F729E" w:rsidRPr="0065548B" w:rsidRDefault="004F729E" w:rsidP="00E45733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8B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14:paraId="3C0B1220" w14:textId="77777777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1304B9" w14:textId="77777777" w:rsidR="00F92DB0" w:rsidRPr="0065548B" w:rsidRDefault="00D502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548B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7E0DD7" w:rsidRPr="0065548B">
        <w:rPr>
          <w:rFonts w:ascii="Times New Roman" w:eastAsia="Times New Roman" w:hAnsi="Times New Roman" w:cs="Times New Roman"/>
          <w:b/>
          <w:sz w:val="28"/>
          <w:szCs w:val="28"/>
        </w:rPr>
        <w:t xml:space="preserve">RESULTADOS E </w:t>
      </w:r>
      <w:commentRangeStart w:id="19"/>
      <w:r w:rsidR="007E0DD7" w:rsidRPr="0065548B">
        <w:rPr>
          <w:rFonts w:ascii="Times New Roman" w:eastAsia="Times New Roman" w:hAnsi="Times New Roman" w:cs="Times New Roman"/>
          <w:b/>
          <w:sz w:val="28"/>
          <w:szCs w:val="28"/>
        </w:rPr>
        <w:t>DISCUSSÕES</w:t>
      </w:r>
      <w:commentRangeEnd w:id="19"/>
      <w:r w:rsidR="00B94BBA">
        <w:rPr>
          <w:rStyle w:val="Refdecomentrio"/>
        </w:rPr>
        <w:commentReference w:id="19"/>
      </w:r>
    </w:p>
    <w:p w14:paraId="3BA928B0" w14:textId="77777777" w:rsidR="00F92DB0" w:rsidRPr="0065548B" w:rsidRDefault="00F92D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ACEF6" w14:textId="77777777" w:rsidR="00F92DB0" w:rsidRPr="005D7FE2" w:rsidRDefault="00D502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5D7FE2">
        <w:rPr>
          <w:rFonts w:ascii="Times New Roman" w:eastAsia="Times New Roman" w:hAnsi="Times New Roman" w:cs="Times New Roman"/>
          <w:b/>
          <w:strike/>
          <w:sz w:val="24"/>
          <w:szCs w:val="24"/>
        </w:rPr>
        <w:lastRenderedPageBreak/>
        <w:t xml:space="preserve">3.1. Caracterização analítica do lixiviado após tratamento </w:t>
      </w:r>
      <w:commentRangeStart w:id="20"/>
      <w:r w:rsidRPr="005D7FE2">
        <w:rPr>
          <w:rFonts w:ascii="Times New Roman" w:eastAsia="Times New Roman" w:hAnsi="Times New Roman" w:cs="Times New Roman"/>
          <w:b/>
          <w:strike/>
          <w:sz w:val="24"/>
          <w:szCs w:val="24"/>
        </w:rPr>
        <w:t>fotocatalítico</w:t>
      </w:r>
      <w:commentRangeEnd w:id="20"/>
      <w:r w:rsidR="005D7FE2" w:rsidRPr="005D7FE2">
        <w:rPr>
          <w:rStyle w:val="Refdecomentrio"/>
          <w:strike/>
        </w:rPr>
        <w:commentReference w:id="20"/>
      </w:r>
    </w:p>
    <w:p w14:paraId="5F32AA34" w14:textId="77777777" w:rsidR="00F92DB0" w:rsidRPr="0065548B" w:rsidRDefault="00F92D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B869E1" w14:textId="61E32352" w:rsidR="00F92DB0" w:rsidRPr="0065548B" w:rsidRDefault="00D502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commentRangeStart w:id="21"/>
      <w:r w:rsidRPr="0065548B">
        <w:rPr>
          <w:rFonts w:ascii="Times New Roman" w:eastAsia="Times New Roman" w:hAnsi="Times New Roman" w:cs="Times New Roman"/>
          <w:sz w:val="24"/>
          <w:szCs w:val="24"/>
        </w:rPr>
        <w:t>técnica</w:t>
      </w:r>
      <w:commentRangeEnd w:id="21"/>
      <w:r w:rsidR="005D7FE2">
        <w:rPr>
          <w:rStyle w:val="Refdecomentrio"/>
        </w:rPr>
        <w:commentReference w:id="21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pintura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</w:t>
      </w:r>
      <w:r w:rsidRPr="005D7FE2">
        <w:rPr>
          <w:rFonts w:ascii="Times New Roman" w:eastAsia="Times New Roman" w:hAnsi="Times New Roman" w:cs="Times New Roman"/>
          <w:strike/>
          <w:sz w:val="24"/>
          <w:szCs w:val="24"/>
        </w:rPr>
        <w:t>adotada –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sobreposição de camadas permitiu a obtenção de filmes com elevada espessura (600 ± 80 µm).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Samanamud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(2012)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demostraram </w:t>
      </w:r>
      <w:commentRangeStart w:id="22"/>
      <w:r w:rsidRPr="005D7FE2">
        <w:rPr>
          <w:rFonts w:ascii="Times New Roman" w:eastAsia="Times New Roman" w:hAnsi="Times New Roman" w:cs="Times New Roman"/>
          <w:strike/>
          <w:sz w:val="24"/>
          <w:szCs w:val="24"/>
        </w:rPr>
        <w:t>explica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commentRangeEnd w:id="22"/>
      <w:r w:rsidR="005D7FE2">
        <w:rPr>
          <w:rStyle w:val="Refdecomentrio"/>
        </w:rPr>
        <w:commentReference w:id="22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que espessuras maiores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do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que 50µm possibilitam uma maior durabilidade</w:t>
      </w:r>
      <w:r w:rsidR="005D7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>do filme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diminuindo custos associados à confecção e operação. </w:t>
      </w:r>
      <w:r w:rsidRPr="005D7FE2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No entanto, nenhum estudo foi realizado para verificar a durabilidade do </w:t>
      </w:r>
      <w:commentRangeStart w:id="23"/>
      <w:r w:rsidRPr="005D7FE2">
        <w:rPr>
          <w:rFonts w:ascii="Times New Roman" w:eastAsia="Times New Roman" w:hAnsi="Times New Roman" w:cs="Times New Roman"/>
          <w:sz w:val="24"/>
          <w:szCs w:val="24"/>
          <w:highlight w:val="yellow"/>
        </w:rPr>
        <w:t>material</w:t>
      </w:r>
      <w:commentRangeEnd w:id="23"/>
      <w:r w:rsidR="005D7FE2">
        <w:rPr>
          <w:rStyle w:val="Refdecomentrio"/>
        </w:rPr>
        <w:commentReference w:id="23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As tintas formuladas para recobrimento dos reatores TFFBR (corpos de prova de aço galvanizado) foram obtidas de forma inédita, com baixa concentração de aditivos e boa distribuição de </w:t>
      </w:r>
      <w:commentRangeStart w:id="24"/>
      <w:r w:rsidRPr="0065548B">
        <w:rPr>
          <w:rFonts w:ascii="Times New Roman" w:eastAsia="Times New Roman" w:hAnsi="Times New Roman" w:cs="Times New Roman"/>
          <w:sz w:val="24"/>
          <w:szCs w:val="24"/>
        </w:rPr>
        <w:t>cargas</w:t>
      </w:r>
      <w:commentRangeEnd w:id="24"/>
      <w:r w:rsidR="005D7FE2">
        <w:rPr>
          <w:rStyle w:val="Refdecomentrio"/>
        </w:rPr>
        <w:commentReference w:id="24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C2A02C" w14:textId="6BF07D74" w:rsidR="00D50C73" w:rsidRPr="0065548B" w:rsidRDefault="00D50C73" w:rsidP="00D50C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caracterização analítica do lixiviado foi realizada antes, durante e após o tratamento. 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As concentrações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inicia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fenóis 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(C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 xml:space="preserve">) em todas as amostras apresentaram diferenças devido ao ajuste inicial de pH antes do início dos </w:t>
      </w:r>
      <w:commentRangeStart w:id="25"/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experimentos</w:t>
      </w:r>
      <w:commentRangeEnd w:id="25"/>
      <w:r w:rsidR="005D7FE2">
        <w:rPr>
          <w:rStyle w:val="Refdecomentrio"/>
        </w:rPr>
        <w:commentReference w:id="25"/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. Comparando ainda as amostras de 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e huminas</w:t>
      </w:r>
      <w:r w:rsidR="006B17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 xml:space="preserve"> há uma discrepância ainda maior nesses valores quando comparadas às amostras de A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. Isto se deve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 xml:space="preserve">ao fato de que há uma maior presença de fenóis nas amostras de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AF e </w:t>
      </w:r>
      <w:proofErr w:type="spellStart"/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huminas</w:t>
      </w:r>
      <w:proofErr w:type="spellEnd"/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Klučáková</w:t>
      </w:r>
      <w:proofErr w:type="spellEnd"/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>, 2018).</w:t>
      </w:r>
    </w:p>
    <w:p w14:paraId="6DAF7DD7" w14:textId="71520BD9" w:rsidR="009E224F" w:rsidRPr="0065548B" w:rsidRDefault="009E224F" w:rsidP="004A5E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Na Figura 4 são apresentados os resultados da análise da concentração de fenóis (mg L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 nas amostras de 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considerando as condições experimentais de I a V (com os respectivos experimentos e duplicatas)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durante 240 minutos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de </w:t>
      </w:r>
      <w:proofErr w:type="spellStart"/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>fotocatálise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Observa-se que a 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 ([pH] = (-); [ZnO-TiO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] = (-))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>, representada pelos experimentos 1 e 5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apontou a maior </w:t>
      </w:r>
      <w:commentRangeStart w:id="26"/>
      <w:r w:rsidRPr="0065548B">
        <w:rPr>
          <w:rFonts w:ascii="Times New Roman" w:eastAsia="Times New Roman" w:hAnsi="Times New Roman" w:cs="Times New Roman"/>
          <w:sz w:val="24"/>
          <w:szCs w:val="24"/>
        </w:rPr>
        <w:t>taxa</w:t>
      </w:r>
      <w:commentRangeEnd w:id="26"/>
      <w:r w:rsidR="005D7FE2">
        <w:rPr>
          <w:rStyle w:val="Refdecomentrio"/>
        </w:rPr>
        <w:commentReference w:id="26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degradação média (73%) para os 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ácidos húmicos</w:t>
      </w:r>
      <w:r w:rsidR="005D7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>após 240 min de reação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([pH] = (-); [ZnO-TiO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] = (+))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>, representada pelos experimentos 3 e 7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teve a menor taxa de degradação média (37%). 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Desta maneira, conclui-se que para este conjunto amostral, o pH na faixa ácida (4,5-5,0) se mostrou importante independente da combinação entre os fotocatalisadores. </w:t>
      </w:r>
    </w:p>
    <w:p w14:paraId="15CBA7F4" w14:textId="77777777" w:rsidR="004A5ED6" w:rsidRDefault="004A5ED6" w:rsidP="004A5ED6">
      <w:pPr>
        <w:pStyle w:val="Contedodatabela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DB1D67B" wp14:editId="3E0B37CA">
            <wp:extent cx="3686175" cy="2582883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352" cy="26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96F0" w14:textId="69845C09" w:rsidR="00D971B3" w:rsidRPr="0065548B" w:rsidRDefault="00734A30" w:rsidP="004A5ED6">
      <w:pPr>
        <w:pStyle w:val="Contedodatabela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5</w:t>
      </w:r>
      <w:r w:rsidR="009E224F"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224F" w:rsidRPr="0065548B">
        <w:rPr>
          <w:rFonts w:ascii="Times New Roman" w:eastAsia="Times New Roman" w:hAnsi="Times New Roman" w:cs="Times New Roman"/>
        </w:rPr>
        <w:t>Concentração média de fenóis (mg L</w:t>
      </w:r>
      <w:r w:rsidR="009E224F" w:rsidRPr="0065548B">
        <w:rPr>
          <w:rFonts w:ascii="Times New Roman" w:eastAsia="Times New Roman" w:hAnsi="Times New Roman" w:cs="Times New Roman"/>
          <w:vertAlign w:val="superscript"/>
        </w:rPr>
        <w:t>-1</w:t>
      </w:r>
      <w:r w:rsidR="009E224F" w:rsidRPr="0065548B">
        <w:rPr>
          <w:rFonts w:ascii="Times New Roman" w:eastAsia="Times New Roman" w:hAnsi="Times New Roman" w:cs="Times New Roman"/>
        </w:rPr>
        <w:t xml:space="preserve">) e respectivo desvio experimental das amostras de ácido húmico. </w:t>
      </w:r>
    </w:p>
    <w:p w14:paraId="2E04652B" w14:textId="77777777" w:rsidR="00D971B3" w:rsidRPr="0065548B" w:rsidRDefault="00D971B3" w:rsidP="00D971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Para corroborar com a análise anterior, foi desenvolvida a Equação 2, que mostra a modelagem estatística dos parâmetros e respectiva combinação, com R² igual a 81,93%. Os resultados obtidos foram expressados em % de degradação dos 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ácidos húmicos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(%A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).</w:t>
      </w:r>
    </w:p>
    <w:tbl>
      <w:tblPr>
        <w:tblStyle w:val="a5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843"/>
      </w:tblGrid>
      <w:tr w:rsidR="0065548B" w:rsidRPr="0065548B" w14:paraId="567F07AC" w14:textId="77777777" w:rsidTr="00D22796">
        <w:tc>
          <w:tcPr>
            <w:tcW w:w="8217" w:type="dxa"/>
          </w:tcPr>
          <w:p w14:paraId="79A9FB09" w14:textId="77777777" w:rsidR="00D971B3" w:rsidRPr="0065548B" w:rsidRDefault="00D971B3" w:rsidP="007E0DD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%AH=56.96 –0.71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pH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–9.19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ZnO-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TiO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Cambria Math" w:hAnsi="Cambria Math" w:cs="Cambria Math"/>
                  </w:rPr>
                  <m:t>+6.39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pH⋅ZnO-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TiO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43" w:type="dxa"/>
            <w:vAlign w:val="center"/>
          </w:tcPr>
          <w:p w14:paraId="09106F00" w14:textId="77777777" w:rsidR="00D971B3" w:rsidRPr="0065548B" w:rsidRDefault="00D971B3" w:rsidP="00D2279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8B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14:paraId="6B2CF721" w14:textId="54E2E7E6" w:rsidR="005D7FE2" w:rsidRPr="005D7FE2" w:rsidRDefault="005D7FE2" w:rsidP="00D971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proofErr w:type="gramStart"/>
      <w:r w:rsidRPr="005D7FE2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onde</w:t>
      </w:r>
      <w:proofErr w:type="gramEnd"/>
      <w:r w:rsidRPr="005D7FE2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%AH significa a porcentagem de degradação de fenóis na fração de AH</w:t>
      </w:r>
    </w:p>
    <w:p w14:paraId="625645EC" w14:textId="6A13F4B9" w:rsidR="00D971B3" w:rsidRPr="0065548B" w:rsidRDefault="00D971B3" w:rsidP="00D971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partir do modelo matemático indicado, o [pH] apresentou efeito significativo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sobre a degradação de fenóis na fração AH,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com nível de confiança de 95% de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value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>. Além disso, os efeitos principais foram analiticamente mais significativos sobre o sinal resposta (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degradação de fenóis na fração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 (P = 0,047) quando comparados com as interações entre a concentração dos fotocatalisadores e o pH ([pH.ZnO-TiO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]) (P = 0,062), indicando a necessidade de melhor exploração de novas concentrações dos </w:t>
      </w:r>
      <w:commentRangeStart w:id="27"/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fotocatalisadores</w:t>
      </w:r>
      <w:commentRangeEnd w:id="27"/>
      <w:proofErr w:type="spellEnd"/>
      <w:r w:rsidR="005D7FE2">
        <w:rPr>
          <w:rStyle w:val="Refdecomentrio"/>
        </w:rPr>
        <w:commentReference w:id="27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O gráfico da superfície de contorno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que mostra a porcentagem de degradação de fenóis na fração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dos ácidos húmicos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em função do </w:t>
      </w:r>
      <w:r w:rsidRPr="005D7FE2">
        <w:rPr>
          <w:rFonts w:ascii="Times New Roman" w:eastAsia="Times New Roman" w:hAnsi="Times New Roman" w:cs="Times New Roman"/>
          <w:i/>
          <w:strike/>
          <w:sz w:val="24"/>
          <w:szCs w:val="24"/>
        </w:rPr>
        <w:t>versus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pH </w:t>
      </w:r>
      <w:r w:rsidR="005D7FE2" w:rsidRP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>reação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 da</w:t>
      </w:r>
      <w:r w:rsidR="005D7F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7FE2">
        <w:rPr>
          <w:rFonts w:ascii="Times New Roman" w:eastAsia="Times New Roman" w:hAnsi="Times New Roman" w:cs="Times New Roman"/>
          <w:i/>
          <w:strike/>
          <w:sz w:val="24"/>
          <w:szCs w:val="24"/>
        </w:rPr>
        <w:t>versus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concentração dos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fotocatalisadores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 tinta superficial da placa fotocatalítica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(Figura 6) confirma esta </w:t>
      </w:r>
      <w:commentRangeStart w:id="28"/>
      <w:r w:rsidRPr="0065548B">
        <w:rPr>
          <w:rFonts w:ascii="Times New Roman" w:eastAsia="Times New Roman" w:hAnsi="Times New Roman" w:cs="Times New Roman"/>
          <w:sz w:val="24"/>
          <w:szCs w:val="24"/>
        </w:rPr>
        <w:t>ANOVA</w:t>
      </w:r>
      <w:commentRangeEnd w:id="28"/>
      <w:r w:rsidR="005D7FE2">
        <w:rPr>
          <w:rStyle w:val="Refdecomentrio"/>
        </w:rPr>
        <w:commentReference w:id="28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apresentando resultados de mais de 70% para a degradação </w:t>
      </w:r>
      <w:r w:rsidR="005D7FE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fenóis contidos nos </w:t>
      </w:r>
      <w:r w:rsidRPr="005D7FE2">
        <w:rPr>
          <w:rFonts w:ascii="Times New Roman" w:eastAsia="Times New Roman" w:hAnsi="Times New Roman" w:cs="Times New Roman"/>
          <w:strike/>
          <w:sz w:val="24"/>
          <w:szCs w:val="24"/>
        </w:rPr>
        <w:t>dos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AH para na 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I. </w:t>
      </w:r>
    </w:p>
    <w:p w14:paraId="22C552EA" w14:textId="77777777" w:rsidR="00D971B3" w:rsidRPr="0065548B" w:rsidRDefault="00883DF7" w:rsidP="00D971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lastRenderedPageBreak/>
        <w:drawing>
          <wp:inline distT="0" distB="0" distL="0" distR="0" wp14:anchorId="1FA250B6" wp14:editId="0E0826E7">
            <wp:extent cx="4095750" cy="2741487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6449" cy="27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AF3B" w14:textId="77777777" w:rsidR="00D971B3" w:rsidRPr="0065548B" w:rsidRDefault="00734A30" w:rsidP="00D971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6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. Plotagem de contorno das </w:t>
      </w:r>
      <w:commentRangeStart w:id="29"/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amostras</w:t>
      </w:r>
      <w:commentRangeEnd w:id="29"/>
      <w:r w:rsidR="005D7FE2">
        <w:rPr>
          <w:rStyle w:val="Refdecomentrio"/>
        </w:rPr>
        <w:commentReference w:id="29"/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AH. O eixo das ordenadas indica os diferentes valores para pH, (-1) = 4,5-5,0; (0) = </w:t>
      </w:r>
      <w:r w:rsidR="00D971B3" w:rsidRPr="0065548B">
        <w:rPr>
          <w:rFonts w:ascii="Times New Roman" w:eastAsia="Times New Roman" w:hAnsi="Times New Roman" w:cs="Times New Roman"/>
        </w:rPr>
        <w:t xml:space="preserve">6,0-6,5; e (+1) = 7,5-8,0; e o 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eixo das abscissas indica </w:t>
      </w:r>
      <w:r w:rsidR="00D971B3" w:rsidRPr="0065548B">
        <w:rPr>
          <w:rFonts w:ascii="Times New Roman" w:eastAsia="Times New Roman" w:hAnsi="Times New Roman" w:cs="Times New Roman"/>
        </w:rPr>
        <w:t xml:space="preserve">as </w:t>
      </w:r>
      <w:r w:rsidR="00883DF7" w:rsidRPr="0065548B">
        <w:rPr>
          <w:rFonts w:ascii="Times New Roman" w:eastAsia="Times New Roman" w:hAnsi="Times New Roman" w:cs="Times New Roman"/>
        </w:rPr>
        <w:t>misturas binárias (da esquerda para a direita, aumentando a concentração de ZnO na mistura)</w:t>
      </w:r>
      <w:r w:rsidR="00D971B3" w:rsidRPr="0065548B">
        <w:rPr>
          <w:rFonts w:ascii="Times New Roman" w:eastAsia="Times New Roman" w:hAnsi="Times New Roman" w:cs="Times New Roman"/>
        </w:rPr>
        <w:t>, (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-1) = ZnO80TiO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; (0) = ZnO56TiO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; e (+1) = </w:t>
      </w:r>
      <w:commentRangeStart w:id="30"/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ZnO35TiO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commentRangeEnd w:id="30"/>
      <w:r w:rsidR="005D7FE2">
        <w:rPr>
          <w:rStyle w:val="Refdecomentrio"/>
        </w:rPr>
        <w:commentReference w:id="30"/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F12434" w14:textId="77777777" w:rsidR="00D971B3" w:rsidRPr="0065548B" w:rsidRDefault="00D971B3" w:rsidP="00D971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06BA75" w14:textId="3D859D1F" w:rsidR="009E224F" w:rsidRPr="0065548B" w:rsidRDefault="009E224F" w:rsidP="00D971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commentRangeStart w:id="31"/>
      <w:r w:rsidRPr="0065548B">
        <w:rPr>
          <w:rFonts w:ascii="Times New Roman" w:eastAsia="Times New Roman" w:hAnsi="Times New Roman" w:cs="Times New Roman"/>
          <w:sz w:val="24"/>
          <w:szCs w:val="24"/>
        </w:rPr>
        <w:t>Na</w:t>
      </w:r>
      <w:commentRangeEnd w:id="31"/>
      <w:r w:rsidR="005D7FE2">
        <w:rPr>
          <w:rStyle w:val="Refdecomentrio"/>
        </w:rPr>
        <w:commentReference w:id="31"/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Figura 5 são apresentados os resultados da análise da concentração de fenóis (mg L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) nas amostras de 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AF e huminas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considerando as condições experimentais de I a V (com os respectivos experimentos e duplicatas)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durante 240 minutos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A maior taxa de degradação média, 60%, foi obtida para a 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IV (+) e (+)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>, representada pelos experimentos 4 e 8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 O pior desempenho, por sua vez, foi obtido pela C</w:t>
      </w:r>
      <w:r w:rsidR="007E0DD7" w:rsidRPr="0065548B">
        <w:rPr>
          <w:rFonts w:ascii="Times New Roman" w:eastAsia="Times New Roman" w:hAnsi="Times New Roman" w:cs="Times New Roman"/>
          <w:sz w:val="24"/>
          <w:szCs w:val="24"/>
        </w:rPr>
        <w:t>ondição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 (0) e (0)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 xml:space="preserve"> (experimentos 9 e 10)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, com uma taxa média de degradação de 33%. O teste branco, por sua vez, indicou apenas 5% de reação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fotolítica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para redução de fenóis em AH e 6% em AF e huminas.</w:t>
      </w:r>
    </w:p>
    <w:p w14:paraId="1A2BCCA2" w14:textId="5E499C93" w:rsidR="009E224F" w:rsidRPr="0065548B" w:rsidRDefault="004A5ED6" w:rsidP="009E22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088EBD" wp14:editId="1CBE4403">
            <wp:extent cx="3819525" cy="2995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29"/>
                    <a:stretch/>
                  </pic:blipFill>
                  <pic:spPr bwMode="auto">
                    <a:xfrm>
                      <a:off x="0" y="0"/>
                      <a:ext cx="3828089" cy="300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D23EB" w14:textId="440E5F99" w:rsidR="009E224F" w:rsidRDefault="009E224F" w:rsidP="004A5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 xml:space="preserve">Figura </w:t>
      </w:r>
      <w:r w:rsidR="00734A30" w:rsidRPr="0065548B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 Concentração média de fenóis (mg L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) e respectivo desvio experimental das amostras de ácidos fúlvicos e huminas</w:t>
      </w:r>
      <w:r w:rsidR="00D971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função do tempo (min)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7653C9" w14:textId="77777777" w:rsidR="004A5ED6" w:rsidRPr="0065548B" w:rsidRDefault="004A5ED6" w:rsidP="004A5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77B5DA" w14:textId="2894984C" w:rsidR="009E6127" w:rsidRPr="0065548B" w:rsidRDefault="009E6127" w:rsidP="009E6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Quanto à análise de variância para as amostras de AF e huminas, o fator significativo deste processo foi o [</w:t>
      </w:r>
      <w:r w:rsidR="00DB78B3" w:rsidRPr="0065548B">
        <w:rPr>
          <w:rFonts w:ascii="Times New Roman" w:eastAsia="Times New Roman" w:hAnsi="Times New Roman" w:cs="Times New Roman"/>
          <w:sz w:val="24"/>
          <w:szCs w:val="24"/>
        </w:rPr>
        <w:t>ZnO-TiO</w:t>
      </w:r>
      <w:r w:rsidR="00DB78B3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DB78B3" w:rsidRPr="0065548B">
        <w:rPr>
          <w:rFonts w:ascii="Times New Roman" w:eastAsia="Times New Roman" w:hAnsi="Times New Roman" w:cs="Times New Roman"/>
          <w:sz w:val="24"/>
          <w:szCs w:val="24"/>
        </w:rPr>
        <w:t>], com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value</w:t>
      </w:r>
      <w:proofErr w:type="spellEnd"/>
      <w:r w:rsidR="00DB78B3" w:rsidRPr="0065548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0,0</w:t>
      </w:r>
      <w:r w:rsidR="00DB78B3" w:rsidRPr="0065548B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Para os resultados obtidos e aplicados </w:t>
      </w:r>
      <w:r w:rsidR="00CC281F">
        <w:rPr>
          <w:rFonts w:ascii="Times New Roman" w:eastAsia="Times New Roman" w:hAnsi="Times New Roman" w:cs="Times New Roman"/>
          <w:sz w:val="24"/>
          <w:szCs w:val="24"/>
        </w:rPr>
        <w:t>na Equação 3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, obteve-se um R² igual a 85,66% o que denota um alto grau de confiabilidade dos mesmos. Assim como observado nas amostras de AH, os efeitos principais foram analiticamente mais significativos sobre o sinal de resposta (AF e huminas) quando comparados às interações.</w:t>
      </w:r>
    </w:p>
    <w:p w14:paraId="6B8850F9" w14:textId="77777777" w:rsidR="009E6127" w:rsidRPr="0065548B" w:rsidRDefault="009E6127" w:rsidP="004A5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8"/>
        <w:gridCol w:w="719"/>
      </w:tblGrid>
      <w:tr w:rsidR="0065548B" w:rsidRPr="00AC53D5" w14:paraId="6D7E5F61" w14:textId="77777777" w:rsidTr="00D22796">
        <w:trPr>
          <w:trHeight w:val="416"/>
        </w:trPr>
        <w:tc>
          <w:tcPr>
            <w:tcW w:w="8368" w:type="dxa"/>
          </w:tcPr>
          <w:p w14:paraId="6797460F" w14:textId="77777777" w:rsidR="009E6127" w:rsidRPr="00AC53D5" w:rsidRDefault="009E6127" w:rsidP="00D22796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%FA+huminas=48.00+11.50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pH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+17.50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ZnO-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TiO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Cambria Math" w:hAnsi="Cambria Math" w:cs="Cambria Math"/>
                  </w:rPr>
                  <m:t>+1.00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pH⋅ZnO-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TiO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19" w:type="dxa"/>
          </w:tcPr>
          <w:p w14:paraId="316792FA" w14:textId="77777777" w:rsidR="009E6127" w:rsidRPr="00AC53D5" w:rsidRDefault="009E6127" w:rsidP="00D2279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3D5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</w:tc>
      </w:tr>
    </w:tbl>
    <w:p w14:paraId="241DEEEC" w14:textId="77777777" w:rsidR="009E6127" w:rsidRPr="0065548B" w:rsidRDefault="009E6127" w:rsidP="009E6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638FC1" w14:textId="77777777" w:rsidR="009E6127" w:rsidRPr="0065548B" w:rsidRDefault="00883DF7" w:rsidP="009E6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Na figura 8 é apresentada a plotagem de contorno para a otimização dos experimentos de degradação das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AF e huminas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. Segundo o gráfico, a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 IV (+) e (+)</w:t>
      </w:r>
      <w:r w:rsidR="000501A5" w:rsidRPr="0065548B">
        <w:rPr>
          <w:rFonts w:ascii="Times New Roman" w:eastAsia="Times New Roman" w:hAnsi="Times New Roman" w:cs="Times New Roman"/>
          <w:sz w:val="24"/>
          <w:szCs w:val="24"/>
        </w:rPr>
        <w:t xml:space="preserve"> foi a combinação mais significativa dos parâmetros para essa fração húmica.</w:t>
      </w:r>
    </w:p>
    <w:p w14:paraId="258EA58C" w14:textId="77777777" w:rsidR="009E6127" w:rsidRPr="0065548B" w:rsidRDefault="009E6127" w:rsidP="009E61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71BBCE" w14:textId="77777777" w:rsidR="009E6127" w:rsidRPr="0065548B" w:rsidRDefault="00883DF7" w:rsidP="009E6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noProof/>
        </w:rPr>
        <w:lastRenderedPageBreak/>
        <w:drawing>
          <wp:inline distT="0" distB="0" distL="0" distR="0" wp14:anchorId="69EFC0A8" wp14:editId="2DBECA2B">
            <wp:extent cx="4486275" cy="301585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3141" cy="30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C6C5" w14:textId="77777777" w:rsidR="009E6127" w:rsidRPr="0065548B" w:rsidRDefault="00734A30" w:rsidP="009E61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b/>
          <w:sz w:val="24"/>
          <w:szCs w:val="24"/>
        </w:rPr>
        <w:t>Figura 8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. Plotagem de contorno das amostras de AF e huminas. O eixo das ordenadas indica os diferentes níveis adotados para o pH, (-1) = 4,5-5,0; (0) = </w:t>
      </w:r>
      <w:r w:rsidR="009E6127" w:rsidRPr="0065548B">
        <w:rPr>
          <w:rFonts w:ascii="Times New Roman" w:eastAsia="Times New Roman" w:hAnsi="Times New Roman" w:cs="Times New Roman"/>
        </w:rPr>
        <w:t xml:space="preserve">6,0-6,5; e (+1) = 7,5-8,0; </w:t>
      </w:r>
      <w:r w:rsidR="00883DF7" w:rsidRPr="0065548B">
        <w:rPr>
          <w:rFonts w:ascii="Times New Roman" w:eastAsia="Times New Roman" w:hAnsi="Times New Roman" w:cs="Times New Roman"/>
        </w:rPr>
        <w:t xml:space="preserve">e o 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</w:rPr>
        <w:t xml:space="preserve">eixo das abscissas indica </w:t>
      </w:r>
      <w:r w:rsidR="00883DF7" w:rsidRPr="0065548B">
        <w:rPr>
          <w:rFonts w:ascii="Times New Roman" w:eastAsia="Times New Roman" w:hAnsi="Times New Roman" w:cs="Times New Roman"/>
        </w:rPr>
        <w:t>as misturas binárias (da esquerda para a direita, aumentando a concentração de ZnO na mistura), (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</w:rPr>
        <w:t>-1) = ZnO80TiO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</w:rPr>
        <w:t>; (0) = ZnO56TiO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</w:rPr>
        <w:t>; e (+1) = ZnO35TiO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83DF7" w:rsidRPr="006554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5C5400" w14:textId="77777777" w:rsidR="009E6127" w:rsidRPr="0065548B" w:rsidRDefault="009E61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0F5512" w14:textId="6E33A48F" w:rsidR="003F649B" w:rsidRPr="0065548B" w:rsidRDefault="00900AC9" w:rsidP="006E2A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Liu et al. (2008) analisaram </w:t>
      </w:r>
      <w:r w:rsidR="00A90F47" w:rsidRPr="0065548B">
        <w:rPr>
          <w:rFonts w:ascii="Times New Roman" w:eastAsia="Times New Roman" w:hAnsi="Times New Roman" w:cs="Times New Roman"/>
          <w:sz w:val="24"/>
          <w:szCs w:val="24"/>
        </w:rPr>
        <w:t>a capacidade fotocatalítica do TiO</w:t>
      </w:r>
      <w:r w:rsidR="00A90F47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90F47" w:rsidRPr="0065548B">
        <w:rPr>
          <w:rFonts w:ascii="Times New Roman" w:eastAsia="Times New Roman" w:hAnsi="Times New Roman" w:cs="Times New Roman"/>
          <w:sz w:val="24"/>
          <w:szCs w:val="24"/>
        </w:rPr>
        <w:t xml:space="preserve"> na degradação do </w:t>
      </w:r>
      <w:r w:rsidR="003F649B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A90F47"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Neste trabalho, foi encontrado que igualando o pH da solução com o potencial </w:t>
      </w:r>
      <w:proofErr w:type="spellStart"/>
      <w:r w:rsidRPr="0065548B">
        <w:rPr>
          <w:rFonts w:ascii="Times New Roman" w:eastAsia="Times New Roman" w:hAnsi="Times New Roman" w:cs="Times New Roman"/>
          <w:sz w:val="24"/>
          <w:szCs w:val="24"/>
        </w:rPr>
        <w:t>zeta</w:t>
      </w:r>
      <w:proofErr w:type="spellEnd"/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471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do </w:t>
      </w:r>
      <w:proofErr w:type="spellStart"/>
      <w:r w:rsidR="0061471A">
        <w:rPr>
          <w:rFonts w:ascii="Times New Roman" w:eastAsia="Times New Roman" w:hAnsi="Times New Roman" w:cs="Times New Roman"/>
          <w:color w:val="FF0000"/>
          <w:sz w:val="24"/>
          <w:szCs w:val="24"/>
        </w:rPr>
        <w:t>fotocatalizador</w:t>
      </w:r>
      <w:proofErr w:type="spellEnd"/>
      <w:r w:rsidR="0061471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(4,0-7,0) há uma maior tendência de adsorção dos contaminantes na superfície do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90CFF" w:rsidRPr="0065548B">
        <w:rPr>
          <w:rFonts w:ascii="Times New Roman" w:eastAsia="Times New Roman" w:hAnsi="Times New Roman" w:cs="Times New Roman"/>
          <w:sz w:val="24"/>
          <w:szCs w:val="24"/>
        </w:rPr>
        <w:t>Sob maiores períodos de irradiação (≥ 150 min), o mecanismo de fotocatálise ocorre preferencialmente por oxidação direta. O efeito de adsorção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é </w:t>
      </w:r>
      <w:r w:rsidR="005618B2" w:rsidRPr="0065548B">
        <w:rPr>
          <w:rFonts w:ascii="Times New Roman" w:eastAsia="Times New Roman" w:hAnsi="Times New Roman" w:cs="Times New Roman"/>
          <w:sz w:val="24"/>
          <w:szCs w:val="24"/>
        </w:rPr>
        <w:t>atenuad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o quando o pH é maior ou igual a 9,0.</w:t>
      </w:r>
      <w:r w:rsidR="00290CFF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Omar, Aziz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Stoll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(2014) estudaram os efeitos de adsorção dos A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nanopartículas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ZnO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. Segundo os autores, quando o pH está maior que 7,0 há uma maior facilidade em promover a ionização das moléculas de A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na superfície do ZnO. Contudo, foi observado um potencial para adsorção quando o pH &lt; </w:t>
      </w:r>
      <w:commentRangeStart w:id="32"/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PCZ</w:t>
      </w:r>
      <w:commentRangeEnd w:id="32"/>
      <w:r w:rsidR="0061471A">
        <w:rPr>
          <w:rStyle w:val="Refdecomentrio"/>
        </w:rPr>
        <w:commentReference w:id="32"/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, devido a uma complexa interação entre forças eletrostáticas atrativas e repulsivas, ligações de van der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Waals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e outras interações com as substâncias húmicas. 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Por este motivo, </w:t>
      </w:r>
      <w:r w:rsidR="006E2A84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>os A</w:t>
      </w:r>
      <w:r w:rsidR="00B56F82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>H</w:t>
      </w:r>
      <w:r w:rsidR="006E2A84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tiveram melhores </w:t>
      </w:r>
      <w:commentRangeStart w:id="33"/>
      <w:r w:rsidR="006E2A84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>resultados</w:t>
      </w:r>
      <w:commentRangeEnd w:id="33"/>
      <w:r w:rsidR="0061471A">
        <w:rPr>
          <w:rStyle w:val="Refdecomentrio"/>
        </w:rPr>
        <w:commentReference w:id="33"/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 para a mistura contendo maior concentração de TiO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>, independente do pH (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 I). No entanto, analisando todo o conjunto de dados, nota-se que não há essa mesma afinidade entre a mistura com maior concentração de TiO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 e as amostras de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AF e huminas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3F81E9" w14:textId="77777777" w:rsidR="000248B1" w:rsidRPr="0065548B" w:rsidRDefault="002833C3" w:rsidP="00207F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Em relação às amostras de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AF e huminas</w:t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, houve </w:t>
      </w:r>
      <w:r w:rsidR="009E6127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um maior </w:t>
      </w:r>
      <w:commentRangeStart w:id="34"/>
      <w:r w:rsidR="009E6127" w:rsidRPr="0061471A">
        <w:rPr>
          <w:rFonts w:ascii="Times New Roman" w:eastAsia="Times New Roman" w:hAnsi="Times New Roman" w:cs="Times New Roman"/>
          <w:sz w:val="24"/>
          <w:szCs w:val="24"/>
          <w:highlight w:val="yellow"/>
        </w:rPr>
        <w:t>favorecimento</w:t>
      </w:r>
      <w:commentRangeEnd w:id="34"/>
      <w:r w:rsidR="0061471A">
        <w:rPr>
          <w:rStyle w:val="Refdecomentrio"/>
        </w:rPr>
        <w:commentReference w:id="34"/>
      </w:r>
      <w:r w:rsidR="009E6127"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meio reacional básico (7,5-8,0) e com a concentração maior de ZnO na mi</w:t>
      </w:r>
      <w:r w:rsidR="00E2371F" w:rsidRPr="0065548B">
        <w:rPr>
          <w:rFonts w:ascii="Times New Roman" w:eastAsia="Times New Roman" w:hAnsi="Times New Roman" w:cs="Times New Roman"/>
          <w:sz w:val="24"/>
          <w:szCs w:val="24"/>
        </w:rPr>
        <w:t>stura binária (</w:t>
      </w:r>
      <w:r w:rsidR="00B56F82" w:rsidRPr="0065548B">
        <w:rPr>
          <w:rFonts w:ascii="Times New Roman" w:eastAsia="Times New Roman" w:hAnsi="Times New Roman" w:cs="Times New Roman"/>
          <w:sz w:val="24"/>
          <w:szCs w:val="24"/>
        </w:rPr>
        <w:t>Condição</w:t>
      </w:r>
      <w:r w:rsidR="00E2371F" w:rsidRPr="0065548B">
        <w:rPr>
          <w:rFonts w:ascii="Times New Roman" w:eastAsia="Times New Roman" w:hAnsi="Times New Roman" w:cs="Times New Roman"/>
          <w:sz w:val="24"/>
          <w:szCs w:val="24"/>
        </w:rPr>
        <w:t xml:space="preserve"> IV). 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O segundo melhor resultado foi obtido para a mesma mistura, porém em pH ácido (4,5-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lastRenderedPageBreak/>
        <w:t>5,0).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 xml:space="preserve"> Cabe destacar que as huminas são insolúveis em m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eio aquoso, diferentemente dos 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F</w:t>
      </w:r>
      <w:r w:rsidR="006E2A84" w:rsidRPr="0065548B">
        <w:rPr>
          <w:rFonts w:ascii="Times New Roman" w:eastAsia="Times New Roman" w:hAnsi="Times New Roman" w:cs="Times New Roman"/>
          <w:sz w:val="24"/>
          <w:szCs w:val="24"/>
        </w:rPr>
        <w:t>, solúveis em qualquer pH.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Rajca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Bodzek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(2013) estudara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m a cinética de reação para os 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F e 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separado, utilizando TiO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/UV. Como resultados, encontraram que houve uma maior susceptibil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idade para a fotodegradação do 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F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do que 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H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, em todos os casos. Isto não ocorreu no presente trabalho, devido </w:t>
      </w:r>
      <w:r w:rsidR="00DA4C1C" w:rsidRPr="0065548B">
        <w:rPr>
          <w:rFonts w:ascii="Times New Roman" w:eastAsia="Times New Roman" w:hAnsi="Times New Roman" w:cs="Times New Roman"/>
          <w:sz w:val="24"/>
          <w:szCs w:val="24"/>
        </w:rPr>
        <w:t>à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presen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 xml:space="preserve">ça das huminas nas amostras de 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A</w:t>
      </w:r>
      <w:r w:rsidR="000248B1" w:rsidRPr="0065548B">
        <w:rPr>
          <w:rFonts w:ascii="Times New Roman" w:eastAsia="Times New Roman" w:hAnsi="Times New Roman" w:cs="Times New Roman"/>
          <w:sz w:val="24"/>
          <w:szCs w:val="24"/>
        </w:rPr>
        <w:t>F</w:t>
      </w:r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 que são mais recalcitrantes que as demais frações húmicas (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Vithanage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Wijesekara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Mayakaduwa</w:t>
      </w:r>
      <w:proofErr w:type="spellEnd"/>
      <w:r w:rsidR="000A0716" w:rsidRPr="0065548B">
        <w:rPr>
          <w:rFonts w:ascii="Times New Roman" w:eastAsia="Times New Roman" w:hAnsi="Times New Roman" w:cs="Times New Roman"/>
          <w:sz w:val="24"/>
          <w:szCs w:val="24"/>
        </w:rPr>
        <w:t>, 2016).</w:t>
      </w:r>
      <w:r w:rsidR="00DA4C1C" w:rsidRPr="0065548B">
        <w:rPr>
          <w:rFonts w:ascii="Times New Roman" w:eastAsia="Times New Roman" w:hAnsi="Times New Roman" w:cs="Times New Roman"/>
          <w:sz w:val="24"/>
          <w:szCs w:val="24"/>
        </w:rPr>
        <w:t xml:space="preserve"> Além disso, existe a possibilidade de outros fatores terem interferido no processo, como a presença de metais pesados, ânions inorgânicos e outros elementos que teriam se adsorvido na superfície dos fotocatalisadores.</w:t>
      </w:r>
      <w:r w:rsidR="00FB0371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67908D" w14:textId="77777777" w:rsidR="009F30DA" w:rsidRPr="0065548B" w:rsidRDefault="00DA4C1C" w:rsidP="00207F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Em relação às misturas binárias</w:t>
      </w:r>
      <w:r w:rsidR="00AE0C91"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ZnO-TiO</w:t>
      </w:r>
      <w:r w:rsidR="00AE0C91"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forma similar à apresentada neste trabalho,</w:t>
      </w:r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>Turkten</w:t>
      </w:r>
      <w:proofErr w:type="spellEnd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>Bekbolet</w:t>
      </w:r>
      <w:proofErr w:type="spellEnd"/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 xml:space="preserve"> (2020) </w:t>
      </w:r>
      <w:r w:rsidR="00AE0C91" w:rsidRPr="0065548B">
        <w:rPr>
          <w:rFonts w:ascii="Times New Roman" w:eastAsia="Times New Roman" w:hAnsi="Times New Roman" w:cs="Times New Roman"/>
          <w:sz w:val="24"/>
          <w:szCs w:val="24"/>
        </w:rPr>
        <w:t>obtiveram como melhores resultados, respectivamente:</w:t>
      </w:r>
      <w:r w:rsidR="009F30DA" w:rsidRPr="00655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0DA" w:rsidRPr="0065548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1:3 &gt; 3:1 &gt; 1:1. </w:t>
      </w:r>
      <w:r w:rsidR="009F30DA" w:rsidRPr="0061471A">
        <w:rPr>
          <w:rFonts w:ascii="Times New Roman" w:eastAsia="Times New Roman" w:hAnsi="Times New Roman" w:cs="Times New Roman"/>
          <w:sz w:val="24"/>
          <w:szCs w:val="24"/>
          <w:highlight w:val="yellow"/>
          <w:lang w:val="pt-PT"/>
        </w:rPr>
        <w:t xml:space="preserve">Se </w:t>
      </w:r>
      <w:commentRangeStart w:id="35"/>
      <w:r w:rsidR="009F30DA" w:rsidRPr="0061471A">
        <w:rPr>
          <w:rFonts w:ascii="Times New Roman" w:eastAsia="Times New Roman" w:hAnsi="Times New Roman" w:cs="Times New Roman"/>
          <w:sz w:val="24"/>
          <w:szCs w:val="24"/>
          <w:highlight w:val="yellow"/>
          <w:lang w:val="pt-PT"/>
        </w:rPr>
        <w:t>analisássemos</w:t>
      </w:r>
      <w:commentRangeEnd w:id="35"/>
      <w:r w:rsidR="0061471A">
        <w:rPr>
          <w:rStyle w:val="Refdecomentrio"/>
        </w:rPr>
        <w:commentReference w:id="35"/>
      </w:r>
      <w:r w:rsidR="009F30DA" w:rsidRPr="0065548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os dois resultados mais significativos do presente trabalho</w:t>
      </w:r>
      <w:r w:rsidR="00FB0371" w:rsidRPr="0065548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desconsiderando a separação das substâncias húmicas</w:t>
      </w:r>
      <w:r w:rsidR="009F30DA" w:rsidRPr="0065548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, teríamos essa mesma mesma ordem de eficiência. </w:t>
      </w:r>
    </w:p>
    <w:p w14:paraId="242140F3" w14:textId="77777777" w:rsidR="00F92DB0" w:rsidRPr="0065548B" w:rsidRDefault="00F92DB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AC567F2" w14:textId="77777777" w:rsidR="00F92DB0" w:rsidRPr="0065548B" w:rsidRDefault="00D502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548B">
        <w:rPr>
          <w:rFonts w:ascii="Times New Roman" w:eastAsia="Times New Roman" w:hAnsi="Times New Roman" w:cs="Times New Roman"/>
          <w:b/>
          <w:sz w:val="28"/>
          <w:szCs w:val="28"/>
        </w:rPr>
        <w:t>4. CONCLUS</w:t>
      </w:r>
      <w:r w:rsidR="00B2785D">
        <w:rPr>
          <w:rFonts w:ascii="Times New Roman" w:eastAsia="Times New Roman" w:hAnsi="Times New Roman" w:cs="Times New Roman"/>
          <w:b/>
          <w:sz w:val="28"/>
          <w:szCs w:val="28"/>
        </w:rPr>
        <w:t>ÕES</w:t>
      </w:r>
    </w:p>
    <w:p w14:paraId="72317532" w14:textId="77777777" w:rsidR="00F92DB0" w:rsidRPr="0065548B" w:rsidRDefault="00F92D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39BDF" w14:textId="3B9AFD83" w:rsidR="004F729E" w:rsidRPr="0065548B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A concentração de fenóis nas amostras de AH </w:t>
      </w:r>
      <w:r w:rsidRPr="0061471A">
        <w:rPr>
          <w:rFonts w:ascii="Times New Roman" w:eastAsia="Times New Roman" w:hAnsi="Times New Roman" w:cs="Times New Roman"/>
          <w:sz w:val="24"/>
          <w:szCs w:val="24"/>
          <w:highlight w:val="magenta"/>
        </w:rPr>
        <w:t>teve em todos em todos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os experimentos degradação superior a 37%. A </w:t>
      </w:r>
      <w:r w:rsidRPr="0061471A">
        <w:rPr>
          <w:rFonts w:ascii="Times New Roman" w:eastAsia="Times New Roman" w:hAnsi="Times New Roman" w:cs="Times New Roman"/>
          <w:sz w:val="24"/>
          <w:szCs w:val="24"/>
          <w:highlight w:val="magenta"/>
        </w:rPr>
        <w:t>taxa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de degradação máxima (73%) foi obtida para a Condição I, ou seja, com maior teor de 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em pH ácido. Em relação às amostras de AF e huminas, os experimentos tiveram taxas de degradação superiores a 33%, tendo a máxima (60%) para a Condição IV, ou seja, com maior teor de ZnO em pH básico. Provavelmente, as huminas limitaram o processo de fotocatálise deste conjunto amostral; considerando as taxas obtidas para </w:t>
      </w:r>
      <w:commentRangeStart w:id="36"/>
      <w:r w:rsidRPr="0065548B">
        <w:rPr>
          <w:rFonts w:ascii="Times New Roman" w:eastAsia="Times New Roman" w:hAnsi="Times New Roman" w:cs="Times New Roman"/>
          <w:sz w:val="24"/>
          <w:szCs w:val="24"/>
        </w:rPr>
        <w:t>fotodegradação</w:t>
      </w:r>
      <w:commentRangeEnd w:id="36"/>
      <w:r w:rsidR="0061471A">
        <w:rPr>
          <w:rStyle w:val="Refdecomentrio"/>
        </w:rPr>
        <w:commentReference w:id="36"/>
      </w:r>
      <w:r w:rsidR="00650B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AFA4EF" w14:textId="77777777" w:rsidR="004F729E" w:rsidRPr="00207F46" w:rsidRDefault="004F729E" w:rsidP="004F72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48B">
        <w:rPr>
          <w:rFonts w:ascii="Times New Roman" w:eastAsia="Times New Roman" w:hAnsi="Times New Roman" w:cs="Times New Roman"/>
          <w:sz w:val="24"/>
          <w:szCs w:val="24"/>
        </w:rPr>
        <w:t>Assim como o relatado na literatura, neste trabalho a concentração [ZnO-TiO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>] foi o fator estatístico mais significativo para todos os experimentos que, de certa forma, tem influência sobre o sinal resposta devido os efeitos de PCZ e potencial zeta. Um resultado inédito obtido no presente trabalho foi o favorecimento da fotodegradação dos AF e huminas pela mistura ZnO35TiO</w:t>
      </w:r>
      <w:r w:rsidRPr="0065548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5548B">
        <w:rPr>
          <w:rFonts w:ascii="Times New Roman" w:eastAsia="Times New Roman" w:hAnsi="Times New Roman" w:cs="Times New Roman"/>
          <w:sz w:val="24"/>
          <w:szCs w:val="24"/>
        </w:rPr>
        <w:t xml:space="preserve"> (tanto em meio alcalino quanto ácido), indicando uma maior afinidade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interação dessas substâncias com o ZnO.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 estudo se mostra importante na proposição de tratamento com baixo consumo energético desde o preparo do material até a operação do reator, obtendo taxas de degradação acima de 60% para a parcela mais recalcitrante (</w:t>
      </w:r>
      <w:r w:rsidRPr="000248B1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248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 huminas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2A43CA65" w14:textId="77777777" w:rsidR="00F92DB0" w:rsidRDefault="00F92D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51CC" w14:textId="77777777" w:rsidR="00F92DB0" w:rsidRDefault="00D502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5. </w:t>
      </w:r>
      <w:r w:rsidR="000248B1">
        <w:rPr>
          <w:rFonts w:ascii="Times New Roman" w:eastAsia="Times New Roman" w:hAnsi="Times New Roman" w:cs="Times New Roman"/>
          <w:b/>
          <w:sz w:val="28"/>
          <w:szCs w:val="28"/>
        </w:rPr>
        <w:t>AGRADECIMENTOS</w:t>
      </w:r>
    </w:p>
    <w:p w14:paraId="0B26AF11" w14:textId="77777777" w:rsidR="00F92DB0" w:rsidRDefault="00F92D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16DC3E" w14:textId="7434A631" w:rsidR="00F92DB0" w:rsidRDefault="000248B1" w:rsidP="00847D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autores gostariam de agradecer às Instituições </w:t>
      </w:r>
      <w:r w:rsidR="00D50222">
        <w:rPr>
          <w:rFonts w:ascii="Times New Roman" w:eastAsia="Times New Roman" w:hAnsi="Times New Roman" w:cs="Times New Roman"/>
          <w:sz w:val="24"/>
          <w:szCs w:val="24"/>
        </w:rPr>
        <w:t xml:space="preserve">EEL/USP </w:t>
      </w:r>
      <w:r w:rsidR="004A5ED6">
        <w:rPr>
          <w:rFonts w:ascii="Times New Roman" w:eastAsia="Times New Roman" w:hAnsi="Times New Roman" w:cs="Times New Roman"/>
          <w:sz w:val="24"/>
          <w:szCs w:val="24"/>
        </w:rPr>
        <w:t>e</w:t>
      </w:r>
      <w:r w:rsidR="00D50222">
        <w:rPr>
          <w:rFonts w:ascii="Times New Roman" w:eastAsia="Times New Roman" w:hAnsi="Times New Roman" w:cs="Times New Roman"/>
          <w:sz w:val="24"/>
          <w:szCs w:val="24"/>
        </w:rPr>
        <w:t xml:space="preserve"> UNITAU </w:t>
      </w:r>
      <w:r>
        <w:rPr>
          <w:rFonts w:ascii="Times New Roman" w:eastAsia="Times New Roman" w:hAnsi="Times New Roman" w:cs="Times New Roman"/>
          <w:sz w:val="24"/>
          <w:szCs w:val="24"/>
        </w:rPr>
        <w:t>pelo suporte</w:t>
      </w:r>
      <w:r w:rsidR="00D502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Este estudo foi financiado pela </w:t>
      </w:r>
      <w:r w:rsidR="00D50222">
        <w:rPr>
          <w:rFonts w:ascii="Times New Roman" w:eastAsia="Times New Roman" w:hAnsi="Times New Roman" w:cs="Times New Roman"/>
          <w:sz w:val="24"/>
          <w:szCs w:val="24"/>
        </w:rPr>
        <w:t>Coordenação de Aperfeiçoamento de Pessoal de Nível Superior - Br</w:t>
      </w:r>
      <w:r w:rsidR="00847DE4">
        <w:rPr>
          <w:rFonts w:ascii="Times New Roman" w:eastAsia="Times New Roman" w:hAnsi="Times New Roman" w:cs="Times New Roman"/>
          <w:sz w:val="24"/>
          <w:szCs w:val="24"/>
        </w:rPr>
        <w:t xml:space="preserve">asil (CAPES)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Código de Financiamento</w:t>
      </w:r>
      <w:r w:rsidR="00847DE4">
        <w:rPr>
          <w:rFonts w:ascii="Times New Roman" w:eastAsia="Times New Roman" w:hAnsi="Times New Roman" w:cs="Times New Roman"/>
          <w:sz w:val="24"/>
          <w:szCs w:val="24"/>
        </w:rPr>
        <w:t xml:space="preserve"> 001. </w:t>
      </w:r>
      <w:r w:rsidR="00847DE4" w:rsidRPr="00E27EEF">
        <w:rPr>
          <w:rFonts w:ascii="Times New Roman" w:eastAsia="Times New Roman" w:hAnsi="Times New Roman" w:cs="Times New Roman"/>
          <w:sz w:val="24"/>
          <w:szCs w:val="24"/>
        </w:rPr>
        <w:t>Processo 88882.386947/2019-01 (vigência 08/2018 a 05/2019, 06/2019 a 08/2019 e 09/2019 a 31/01/2021</w:t>
      </w:r>
      <w:bookmarkStart w:id="37" w:name="_GoBack1"/>
      <w:bookmarkEnd w:id="37"/>
      <w:r w:rsidR="00847DE4" w:rsidRPr="00E27EEF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60C11CA" w14:textId="77777777" w:rsidR="00F92DB0" w:rsidRDefault="00F92D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32EFF" w14:textId="77777777" w:rsidR="00F92DB0" w:rsidRDefault="00D502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REFER</w:t>
      </w:r>
      <w:r w:rsidR="000248B1">
        <w:rPr>
          <w:rFonts w:ascii="Times New Roman" w:eastAsia="Times New Roman" w:hAnsi="Times New Roman" w:cs="Times New Roman"/>
          <w:b/>
          <w:sz w:val="28"/>
          <w:szCs w:val="28"/>
        </w:rPr>
        <w:t>ÊNCIAS</w:t>
      </w:r>
    </w:p>
    <w:p w14:paraId="42FEEAD1" w14:textId="77777777" w:rsidR="00F92DB0" w:rsidRDefault="00F92D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32945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ABRELPE – Associação Brasileira de Empresas de Limpeza Pública e Resíduos Especiais. Panorama dos resíduos sólidos no Brasil 2019. (2021). São Paulo, SP: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Abrelpe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1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https://abrelpe.org.br/panorama-2020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/Accessed May 20, 2021.</w:t>
      </w:r>
    </w:p>
    <w:p w14:paraId="6AD311A2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85E53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Costa, A.M., Alfaia, R.G.S.M.,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Campos, J.C. (2019).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Landfill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leachate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treatment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Brazil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overview.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Environmental Management, 232, 110. </w:t>
      </w:r>
      <w:hyperlink r:id="rId22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https://doi.org/10.1016/j.jenvman.2018.11.006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277456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6ED73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Guo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X., Liu, H., Wu, S. (2019).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substances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developed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organic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composting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Formation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mechanisms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structural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properties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agronomic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functions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Sci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Total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Environ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., 662, 501. </w:t>
      </w:r>
      <w:hyperlink r:id="rId23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https://doi.org/10.1016/j.scitotenv.2019.01.137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EFFEF7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50752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Hayati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F.,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Isari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A.A.,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Fattahi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Anvaripour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B.,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Jorfi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S. (2018).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decontamination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phenol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petrochemical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ZnO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>/TiO</w:t>
      </w:r>
      <w:r w:rsidRPr="00847D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decorated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reduced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graphene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oxide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nanocomposite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influential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operating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factors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mechanism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electrical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consumption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RCS Adv., 8, 40035. </w:t>
      </w:r>
      <w:hyperlink r:id="rId24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https://doi.org/10.1039/C8RA07936F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C6BA77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EC53CD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Islam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M.D.T., Dominguez, 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Turley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R.S., Kim, H., Sultana, K.A.,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Shuvo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>, M., Alvarado-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Tenorio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B., Montes, M.O.,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Lin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Y.,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Gardea-Torresdey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J.,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Noveron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J.C. (2020).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TiO2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photopolymer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resin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degradation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organic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pollutants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Sci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Total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Environ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704(20),135406. </w:t>
      </w:r>
      <w:hyperlink r:id="rId25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https://doi.org/10.1016/j.scitotenv.2019.135406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57C0F3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92369E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lastRenderedPageBreak/>
        <w:t>Klučáková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 (2018).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Conductometric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dissociation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behavior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fulvic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acids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React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Funct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Polym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128, 24. </w:t>
      </w:r>
      <w:hyperlink r:id="rId26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https://doi.org/10.1016/j.reactfunctpolym.2018.04.017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462D7B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4B98AF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Liu, S.,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Lim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Fabris, R.,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Chow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C.,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Chiang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K.,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Drikas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Amal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R. (2008).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Removal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acid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TiO</w:t>
      </w:r>
      <w:r w:rsidRPr="00847D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photocatalyticprocess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Fractionation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molecularweight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characterisation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Chemosphere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72, 263. </w:t>
      </w:r>
      <w:hyperlink r:id="rId27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https://doi.org/10.1016/j.chemosphere.2008.01.061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2D329E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B7DFE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McDonald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S., Bishop, A.G.,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Prenzler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P.D.,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Robards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K. (2004).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Analytical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chemistry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freshwater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substances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Analytica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Chimica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Acta, 527(2), 105. </w:t>
      </w:r>
      <w:hyperlink r:id="rId28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https://doi.org/10.1016/j.aca.2004.10.011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1D3248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1EEDE1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Minelgaitė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Liobikienė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G. (2019).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problem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European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Union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its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management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behaviours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Science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The Total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667, 86. </w:t>
      </w:r>
      <w:hyperlink r:id="rId29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https://doi.org/10.1016/j.scitotenv.2019.02.313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989A52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64FD81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Munguti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L.K.,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Dejene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F.B. (2021).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Effects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47DE4">
        <w:rPr>
          <w:rFonts w:ascii="Times New Roman" w:eastAsia="Times New Roman" w:hAnsi="Times New Roman" w:cs="Times New Roman"/>
          <w:sz w:val="24"/>
          <w:szCs w:val="24"/>
        </w:rPr>
        <w:t>Zn:Ti</w:t>
      </w:r>
      <w:proofErr w:type="spellEnd"/>
      <w:proofErr w:type="gram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molar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ratios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morphological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optical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properties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ZnO-TiO</w:t>
      </w:r>
      <w:r w:rsidRPr="00847DE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nanocomposites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application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dye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removal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Science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Semiconductor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Processing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128(4), 105786. </w:t>
      </w:r>
      <w:hyperlink r:id="rId30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https://doi.org/10.1016/j.mssp.2021.105786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5DFCCE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8347E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Omar, F.M., Aziz, H.A.,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Stoll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S. (2014). 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Aggregation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disaggregation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ZnO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nanoparticles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pH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adsorption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Suwannee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River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acid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Science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The Total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468-469, 195. </w:t>
      </w:r>
      <w:hyperlink r:id="rId31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https://doi.org/10.1016/j.scitotenv.2013.08.044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C28E75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FD953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Pontoni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L.,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Panico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Matanò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Hullebusch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E.D.V.,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Fabbricino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Esposito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G.,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Pirozzi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F. (2017).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Modified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Sample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Preparation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Approach for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Determination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Phenolic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Humic-Like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Substances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Natural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Organic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Folin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Ciocalteu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Method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J. Agric.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Food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Chem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., 65, 10666. </w:t>
      </w:r>
      <w:hyperlink r:id="rId32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https://doi.org/10.1021/acs.jafc.7b04942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A10F2F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0433C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Rajca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Bodzek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 (2013).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Kinetics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fulvic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acids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photodegradation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solutions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Separation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Purification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Techonology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120, 35. </w:t>
      </w:r>
      <w:hyperlink r:id="rId33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https://doi.org/10.1016/j.seppur.2013.09.019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B0215F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FD2BC7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Said, K.A.M., Ismail, A.F.,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Karim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Z.A., Abdullah, M.S.,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Hafeez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A. (2021). A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Review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Technologies for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Phenolic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Compounds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Recovery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Phenol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Removal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Process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Safety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Environmental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Protection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34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https://doi.org/10.1016/j.psep.2021.05.015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854B34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308E5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Scarlat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Fahl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F.,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Dallemand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J.F. (2019). Status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for Energy Recovery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Municipal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Solid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Europe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Waste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Biomass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Valorization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10, 2425. </w:t>
      </w:r>
      <w:hyperlink r:id="rId35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https://doi.org/10.1007/s12649-018-0297-7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990E88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CF7356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Turkten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Bekbolet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 (2020).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performance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titanium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dioxide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zinc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oxide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binary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degradation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J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Photochem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Photobiol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Chem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401, 112748. </w:t>
      </w:r>
      <w:hyperlink r:id="rId36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https://doi.org/10.1016/j.jphotochem.2020.112748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8894B7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BE0EAB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Upadhaya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D.,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Kumar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P.,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Purkayastha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D.D. (2019).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Superhydrophobic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ZnO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>/TiO</w:t>
      </w:r>
      <w:r w:rsidRPr="00FB0371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heterostructure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signifcantly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enhanced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photocatalytic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activity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Science: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Electronics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30 (11), 10399. </w:t>
      </w:r>
      <w:hyperlink r:id="rId37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https://doi.org/10.1007/s10854-019-01381-2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4575F6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B2EEB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Vithanage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Wijesekara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H.,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Mayakaduwa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S.S. (2017).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Isolation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purification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dissolved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organic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carbon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Gohagoda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uncontrolled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open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dumpsite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leachate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Sri Lanka. Environmental Technology, 38 (13-14). </w:t>
      </w:r>
      <w:hyperlink r:id="rId38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https://doi.org/10.1080/09593330.2016.1235229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D3AAF6" w14:textId="77777777" w:rsidR="00847DE4" w:rsidRP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2850C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Yang, F., Tang, C.,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Antonietti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M. (2021). Natural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artificial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humic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substances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manage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minerals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ions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soil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microorganisms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7DE4">
        <w:rPr>
          <w:rFonts w:ascii="Times New Roman" w:eastAsia="Times New Roman" w:hAnsi="Times New Roman" w:cs="Times New Roman"/>
          <w:sz w:val="24"/>
          <w:szCs w:val="24"/>
        </w:rPr>
        <w:t>Chem</w:t>
      </w:r>
      <w:proofErr w:type="spellEnd"/>
      <w:r w:rsidRPr="00847DE4">
        <w:rPr>
          <w:rFonts w:ascii="Times New Roman" w:eastAsia="Times New Roman" w:hAnsi="Times New Roman" w:cs="Times New Roman"/>
          <w:sz w:val="24"/>
          <w:szCs w:val="24"/>
        </w:rPr>
        <w:t xml:space="preserve">. Soc. Rev., 50, 6221. </w:t>
      </w:r>
      <w:hyperlink r:id="rId39" w:history="1">
        <w:r w:rsidRPr="006E7F6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https://doi.org/10.1039/d0cs01363c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C6E37D" w14:textId="77777777" w:rsidR="00847DE4" w:rsidRDefault="00847DE4" w:rsidP="00847D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47DE4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dre ferraz" w:date="2021-06-29T06:55:00Z" w:initials="af">
    <w:p w14:paraId="1DB8B6FC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O termo aterro parece não definir claramente a origem do efluente.</w:t>
      </w:r>
    </w:p>
    <w:p w14:paraId="3EC92023" w14:textId="3B6E5047" w:rsidR="00D35D4F" w:rsidRDefault="00D35D4F">
      <w:pPr>
        <w:pStyle w:val="Textodecomentrio"/>
      </w:pPr>
      <w:r>
        <w:t>Aterro sanitário talvez ou outro termo que indique melhor a origem do material</w:t>
      </w:r>
    </w:p>
  </w:comment>
  <w:comment w:id="1" w:author="andre ferraz" w:date="2021-06-29T06:57:00Z" w:initials="af">
    <w:p w14:paraId="2F9ABA2F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Só no Brasil?</w:t>
      </w:r>
    </w:p>
    <w:p w14:paraId="120A93DB" w14:textId="69DEDB29" w:rsidR="00D35D4F" w:rsidRDefault="00D35D4F">
      <w:pPr>
        <w:pStyle w:val="Textodecomentrio"/>
      </w:pPr>
      <w:r>
        <w:t>Não se trata de um problema comum no mundo todo?</w:t>
      </w:r>
    </w:p>
  </w:comment>
  <w:comment w:id="2" w:author="andre ferraz" w:date="2021-06-29T06:58:00Z" w:initials="af">
    <w:p w14:paraId="3063DEB4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proofErr w:type="gramStart"/>
      <w:r>
        <w:t>que</w:t>
      </w:r>
      <w:proofErr w:type="gramEnd"/>
      <w:r>
        <w:t xml:space="preserve"> “recebe lixo urbano” é mais abrangente e não seria necessário definir o local no resumo.</w:t>
      </w:r>
    </w:p>
    <w:p w14:paraId="258A9202" w14:textId="3B94A3DD" w:rsidR="00D35D4F" w:rsidRDefault="00D35D4F">
      <w:pPr>
        <w:pStyle w:val="Textodecomentrio"/>
      </w:pPr>
      <w:r>
        <w:t>Note que o problema é global, o mesmo tipo de lixiviado existe em qualquer lugar do mundo</w:t>
      </w:r>
    </w:p>
  </w:comment>
  <w:comment w:id="3" w:author="andre ferraz" w:date="2021-06-29T06:59:00Z" w:initials="af">
    <w:p w14:paraId="63E1E915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A maioria das revistas não aceita abreviações no abstract.</w:t>
      </w:r>
    </w:p>
    <w:p w14:paraId="505F1772" w14:textId="5E5D37D5" w:rsidR="00D35D4F" w:rsidRDefault="00D35D4F">
      <w:pPr>
        <w:pStyle w:val="Textodecomentrio"/>
      </w:pPr>
      <w:proofErr w:type="gramStart"/>
      <w:r>
        <w:t>é</w:t>
      </w:r>
      <w:proofErr w:type="gramEnd"/>
      <w:r>
        <w:t xml:space="preserve"> necessário indicar o nome do reator por extenso na primeira vez que aparece ou simplificar o termo e depois definir exatamente o nome do reator na parte experimental</w:t>
      </w:r>
    </w:p>
  </w:comment>
  <w:comment w:id="4" w:author="andre ferraz" w:date="2021-06-29T07:01:00Z" w:initials="af">
    <w:p w14:paraId="3933D8B8" w14:textId="09752861" w:rsidR="00D35D4F" w:rsidRDefault="00D35D4F">
      <w:pPr>
        <w:pStyle w:val="Textodecomentrio"/>
      </w:pPr>
      <w:r>
        <w:rPr>
          <w:rStyle w:val="Refdecomentrio"/>
        </w:rPr>
        <w:annotationRef/>
      </w:r>
      <w:r>
        <w:t>Não fica claro, aqui no abstract, por ser a primeira vez que aparece, o que está com 35% e o que está com 65%</w:t>
      </w:r>
    </w:p>
  </w:comment>
  <w:comment w:id="5" w:author="andre ferraz" w:date="2021-06-29T07:06:00Z" w:initials="af">
    <w:p w14:paraId="35AD6556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Não é necessário mencionar esta frase que aborda o método de determinação de fenóis, a menos que seja muito fundamental para o entendimento do trabalho.</w:t>
      </w:r>
    </w:p>
    <w:p w14:paraId="62D29955" w14:textId="57279BC0" w:rsidR="00D35D4F" w:rsidRDefault="00D35D4F">
      <w:pPr>
        <w:pStyle w:val="Textodecomentrio"/>
      </w:pPr>
      <w:r>
        <w:t xml:space="preserve">É possível simplesmente informar que “O teor de fenóis nos lixiviados foi monitorado, indicando que </w:t>
      </w:r>
      <w:proofErr w:type="gramStart"/>
      <w:r>
        <w:t>a.....</w:t>
      </w:r>
      <w:proofErr w:type="gramEnd"/>
      <w:r>
        <w:t>”</w:t>
      </w:r>
    </w:p>
  </w:comment>
  <w:comment w:id="6" w:author="andre ferraz" w:date="2021-06-29T07:12:00Z" w:initials="af">
    <w:p w14:paraId="1ECEEB4B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A última frase é desaconselhável em resumos. Ela diz muito pouco.</w:t>
      </w:r>
    </w:p>
    <w:p w14:paraId="59A03815" w14:textId="77777777" w:rsidR="00D35D4F" w:rsidRDefault="00D35D4F">
      <w:pPr>
        <w:pStyle w:val="Textodecomentrio"/>
      </w:pPr>
      <w:r>
        <w:t>A última frase deve ser a conclusão abreviada do trabalho.</w:t>
      </w:r>
    </w:p>
    <w:p w14:paraId="6FC97A4A" w14:textId="4470492E" w:rsidR="00D35D4F" w:rsidRDefault="00D35D4F">
      <w:pPr>
        <w:pStyle w:val="Textodecomentrio"/>
      </w:pPr>
      <w:r>
        <w:t xml:space="preserve">Por exemplo: “O uso de um sistema de tintas fotocatalíticas combinado com energia luminosa solar mostrou-se eficiente para diminuir as cargas de fenóis em lixiviados de lixos urbanos, demonstrando o potencial deste sistema inovador para o tratamento de resíduos </w:t>
      </w:r>
      <w:proofErr w:type="gramStart"/>
      <w:r>
        <w:t>líquidos.”</w:t>
      </w:r>
      <w:proofErr w:type="gramEnd"/>
    </w:p>
  </w:comment>
  <w:comment w:id="9" w:author="andre ferraz" w:date="2021-06-29T07:17:00Z" w:initials="af">
    <w:p w14:paraId="595B751B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Sugiro apresentar o conteúdo desta frase de forma mais abrangente e menos localista.</w:t>
      </w:r>
    </w:p>
    <w:p w14:paraId="5249D68A" w14:textId="77777777" w:rsidR="00D35D4F" w:rsidRDefault="00D35D4F">
      <w:pPr>
        <w:pStyle w:val="Textodecomentrio"/>
      </w:pPr>
      <w:r>
        <w:t>Entendo que:</w:t>
      </w:r>
    </w:p>
    <w:p w14:paraId="07F63991" w14:textId="77777777" w:rsidR="00D35D4F" w:rsidRDefault="00D35D4F">
      <w:pPr>
        <w:pStyle w:val="Textodecomentrio"/>
      </w:pPr>
      <w:r>
        <w:t>1. Há dois sistemas predominantes de tratamento do lixo urbano no mundo: a incineração e a deposição em aterros sanitários.</w:t>
      </w:r>
    </w:p>
    <w:p w14:paraId="0722E07E" w14:textId="77777777" w:rsidR="00D35D4F" w:rsidRDefault="00D35D4F">
      <w:pPr>
        <w:pStyle w:val="Textodecomentrio"/>
      </w:pPr>
      <w:r>
        <w:t>2. Deveria ser indicado inconvenientes associados ao primeiro (incineração), bem como ao segundo.</w:t>
      </w:r>
    </w:p>
    <w:p w14:paraId="1579DE26" w14:textId="163E0457" w:rsidR="00D35D4F" w:rsidRDefault="00D35D4F">
      <w:pPr>
        <w:pStyle w:val="Textodecomentrio"/>
      </w:pPr>
      <w:r>
        <w:t>3. Aí então</w:t>
      </w:r>
      <w:r w:rsidR="00650B3C">
        <w:t xml:space="preserve"> </w:t>
      </w:r>
      <w:r>
        <w:t xml:space="preserve">o dar uma ordem de magnitude do que se produz na Europa e no Brasil, como exemplos e comentar que no caso do Brasil “e outros países menos desenvolvidos???) </w:t>
      </w:r>
      <w:proofErr w:type="gramStart"/>
      <w:r>
        <w:t>o</w:t>
      </w:r>
      <w:proofErr w:type="gramEnd"/>
      <w:r>
        <w:t xml:space="preserve"> tratamento predominante é de aterros sanitários.</w:t>
      </w:r>
    </w:p>
    <w:p w14:paraId="7F4C049C" w14:textId="77777777" w:rsidR="00D35D4F" w:rsidRDefault="00D35D4F">
      <w:pPr>
        <w:pStyle w:val="Textodecomentrio"/>
      </w:pPr>
    </w:p>
    <w:p w14:paraId="22B447AC" w14:textId="67D69D68" w:rsidR="00D35D4F" w:rsidRDefault="00D35D4F">
      <w:pPr>
        <w:pStyle w:val="Textodecomentrio"/>
      </w:pPr>
      <w:r>
        <w:t xml:space="preserve">Notem que todo resumo que começar com “No Brasil” ou mesmo com qualquer outro país específico, pode afastar muito leitores, simplesmente por se correr </w:t>
      </w:r>
      <w:proofErr w:type="gramStart"/>
      <w:r>
        <w:t>o ricos</w:t>
      </w:r>
      <w:proofErr w:type="gramEnd"/>
      <w:r>
        <w:t xml:space="preserve"> de passar a impressão inicial de que é um estudo de utilidade regional restrito.</w:t>
      </w:r>
    </w:p>
  </w:comment>
  <w:comment w:id="10" w:author="andre ferraz" w:date="2021-06-29T07:23:00Z" w:initials="af">
    <w:p w14:paraId="2F618C1A" w14:textId="5E0727EE" w:rsidR="00D35D4F" w:rsidRDefault="00D35D4F">
      <w:pPr>
        <w:pStyle w:val="Textodecomentrio"/>
      </w:pPr>
      <w:r>
        <w:rPr>
          <w:rStyle w:val="Refdecomentrio"/>
        </w:rPr>
        <w:annotationRef/>
      </w:r>
      <w:r>
        <w:t>Texto longo e desnecessário. Pode-se dizer a mesma coisa de forma mais direta, como no exemplo digitado diretamente no corpo do artigo</w:t>
      </w:r>
    </w:p>
  </w:comment>
  <w:comment w:id="11" w:author="andre ferraz" w:date="2021-06-29T07:29:00Z" w:initials="af">
    <w:p w14:paraId="2A0CF4E2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Dúvida conceitual minha:</w:t>
      </w:r>
    </w:p>
    <w:p w14:paraId="53E099D0" w14:textId="2B0CB244" w:rsidR="00D35D4F" w:rsidRDefault="00D35D4F">
      <w:pPr>
        <w:pStyle w:val="Textodecomentrio"/>
      </w:pPr>
      <w:r>
        <w:t>Os aterros sanitários recebem resíduos industriais?</w:t>
      </w:r>
    </w:p>
  </w:comment>
  <w:comment w:id="12" w:author="andre ferraz" w:date="2021-06-29T07:33:00Z" w:initials="af">
    <w:p w14:paraId="05AE2BF3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O que eles observaram?</w:t>
      </w:r>
    </w:p>
    <w:p w14:paraId="376705F7" w14:textId="671BA64B" w:rsidR="00D35D4F" w:rsidRDefault="00D35D4F">
      <w:pPr>
        <w:pStyle w:val="Textodecomentrio"/>
      </w:pPr>
      <w:r>
        <w:t>Este parece ser o trabalho mais similar ao desenvolvido no presente artigo</w:t>
      </w:r>
    </w:p>
  </w:comment>
  <w:comment w:id="13" w:author="andre ferraz" w:date="2021-06-29T07:34:00Z" w:initials="af">
    <w:p w14:paraId="2AC76875" w14:textId="2E218598" w:rsidR="00D35D4F" w:rsidRDefault="00D35D4F">
      <w:pPr>
        <w:pStyle w:val="Textodecomentrio"/>
      </w:pPr>
      <w:r>
        <w:rPr>
          <w:rStyle w:val="Refdecomentrio"/>
        </w:rPr>
        <w:annotationRef/>
      </w:r>
      <w:r>
        <w:t>Muitas revistas exigem que a abreviação seja indicada no abstract (se aparecer lá) e no corpo do texto na primeira vez que aparecer</w:t>
      </w:r>
    </w:p>
  </w:comment>
  <w:comment w:id="14" w:author="andre ferraz" w:date="2021-06-29T07:42:00Z" w:initials="af">
    <w:p w14:paraId="0176A642" w14:textId="4ED78103" w:rsidR="00D35D4F" w:rsidRDefault="00D35D4F">
      <w:pPr>
        <w:pStyle w:val="Textodecomentrio"/>
      </w:pPr>
      <w:r>
        <w:rPr>
          <w:rStyle w:val="Refdecomentrio"/>
        </w:rPr>
        <w:annotationRef/>
      </w:r>
      <w:proofErr w:type="gramStart"/>
      <w:r>
        <w:t>é</w:t>
      </w:r>
      <w:proofErr w:type="gramEnd"/>
      <w:r>
        <w:t xml:space="preserve"> possível simplificar este texto, pois é um processo que se repetiu</w:t>
      </w:r>
    </w:p>
  </w:comment>
  <w:comment w:id="15" w:author="andre ferraz" w:date="2021-06-29T07:44:00Z" w:initials="af">
    <w:p w14:paraId="24E98105" w14:textId="77777777" w:rsidR="00D35D4F" w:rsidRDefault="00D35D4F">
      <w:pPr>
        <w:pStyle w:val="Textodecomentrio"/>
      </w:pPr>
      <w:r>
        <w:rPr>
          <w:rStyle w:val="Refdecomentrio"/>
        </w:rPr>
        <w:annotationRef/>
      </w:r>
      <w:r>
        <w:t>Este título deve ser mais informativo. Por exemplo:</w:t>
      </w:r>
    </w:p>
    <w:p w14:paraId="3C7D41AF" w14:textId="70454332" w:rsidR="00D35D4F" w:rsidRDefault="00D35D4F">
      <w:pPr>
        <w:pStyle w:val="Textodecomentrio"/>
      </w:pPr>
      <w:r>
        <w:t>“Degradação fotocatalítica de lixiviado de lixo urbano”</w:t>
      </w:r>
    </w:p>
  </w:comment>
  <w:comment w:id="16" w:author="andre ferraz" w:date="2021-06-29T07:55:00Z" w:initials="af">
    <w:p w14:paraId="27BCDA5C" w14:textId="4EC6A6BF" w:rsidR="00B94BBA" w:rsidRDefault="00B94BBA">
      <w:pPr>
        <w:pStyle w:val="Textodecomentrio"/>
      </w:pPr>
      <w:r>
        <w:rPr>
          <w:rStyle w:val="Refdecomentrio"/>
        </w:rPr>
        <w:annotationRef/>
      </w:r>
      <w:proofErr w:type="gramStart"/>
      <w:r>
        <w:t>é</w:t>
      </w:r>
      <w:proofErr w:type="gramEnd"/>
      <w:r>
        <w:t xml:space="preserve"> necessário informar qual foi o método usado para diferenciar as três frações no líquido analisado. </w:t>
      </w:r>
    </w:p>
    <w:p w14:paraId="32750828" w14:textId="3087EDAD" w:rsidR="00B94BBA" w:rsidRDefault="00B94BBA">
      <w:pPr>
        <w:pStyle w:val="Textodecomentrio"/>
      </w:pPr>
      <w:r>
        <w:t>Parece ser o que está na figura 4, mas além deste tipo de figura ser pouco comum em artigos, o conteúdo não deixa claro quais são as frações, exceto para alguém mais habituado com a metodologia</w:t>
      </w:r>
    </w:p>
  </w:comment>
  <w:comment w:id="17" w:author="andre ferraz" w:date="2021-06-29T07:50:00Z" w:initials="af">
    <w:p w14:paraId="44CA5696" w14:textId="366B1205" w:rsidR="00B94BBA" w:rsidRDefault="00B94BBA">
      <w:pPr>
        <w:pStyle w:val="Textodecomentrio"/>
      </w:pPr>
      <w:r>
        <w:rPr>
          <w:rStyle w:val="Refdecomentrio"/>
        </w:rPr>
        <w:annotationRef/>
      </w:r>
      <w:r>
        <w:t>Esta informação é muito básica e não precisa aparecer</w:t>
      </w:r>
    </w:p>
  </w:comment>
  <w:comment w:id="18" w:author="andre ferraz" w:date="2021-06-29T07:51:00Z" w:initials="af">
    <w:p w14:paraId="449F229B" w14:textId="5F1D7839" w:rsidR="00B94BBA" w:rsidRDefault="00B94BBA">
      <w:pPr>
        <w:pStyle w:val="Textodecomentrio"/>
      </w:pPr>
      <w:r>
        <w:rPr>
          <w:rStyle w:val="Refdecomentrio"/>
        </w:rPr>
        <w:annotationRef/>
      </w:r>
      <w:proofErr w:type="gramStart"/>
      <w:r>
        <w:t>é</w:t>
      </w:r>
      <w:proofErr w:type="gramEnd"/>
      <w:r>
        <w:t xml:space="preserve"> bastante incomum haver a descrição experimental na forma ilustrada. Se for comum no periódico em questão, essa figura pode ser mantida. Caso contrário, as informações devem aparecer de forma textual e não como ilustração</w:t>
      </w:r>
    </w:p>
  </w:comment>
  <w:comment w:id="19" w:author="andre ferraz" w:date="2021-06-29T07:57:00Z" w:initials="af">
    <w:p w14:paraId="69B5CC0E" w14:textId="6278B45C" w:rsidR="00B94BBA" w:rsidRDefault="00B94BBA">
      <w:pPr>
        <w:pStyle w:val="Textodecomentrio"/>
      </w:pPr>
      <w:r>
        <w:rPr>
          <w:rStyle w:val="Refdecomentrio"/>
        </w:rPr>
        <w:annotationRef/>
      </w:r>
      <w:r>
        <w:t>Num artigo há vários resultados, mas só uma discussão</w:t>
      </w:r>
    </w:p>
  </w:comment>
  <w:comment w:id="20" w:author="andre ferraz" w:date="2021-06-29T07:59:00Z" w:initials="af">
    <w:p w14:paraId="64B3709F" w14:textId="76049351" w:rsidR="005D7FE2" w:rsidRDefault="005D7FE2">
      <w:pPr>
        <w:pStyle w:val="Textodecomentrio"/>
      </w:pPr>
      <w:r>
        <w:rPr>
          <w:rStyle w:val="Refdecomentrio"/>
        </w:rPr>
        <w:annotationRef/>
      </w:r>
      <w:r>
        <w:t xml:space="preserve">Não é necessário um subtítulo, pois toda a sessão de R&amp;D está contínua sob um único </w:t>
      </w:r>
      <w:proofErr w:type="spellStart"/>
      <w:r>
        <w:t>sub-titulo</w:t>
      </w:r>
      <w:proofErr w:type="spellEnd"/>
      <w:r>
        <w:t xml:space="preserve">, sem divisão adicional </w:t>
      </w:r>
    </w:p>
  </w:comment>
  <w:comment w:id="21" w:author="andre ferraz" w:date="2021-06-29T08:14:00Z" w:initials="af">
    <w:p w14:paraId="1BAA7982" w14:textId="160DF228" w:rsidR="005D7FE2" w:rsidRDefault="005D7FE2">
      <w:pPr>
        <w:pStyle w:val="Textodecomentrio"/>
      </w:pPr>
      <w:r>
        <w:rPr>
          <w:rStyle w:val="Refdecomentrio"/>
        </w:rPr>
        <w:annotationRef/>
      </w:r>
      <w:r>
        <w:t xml:space="preserve">Entendo que este parágrafo deveria falar sobre o reator como um todo e não somente sobre a pintura da superfície. Por exemplo, o reator operou sem interrupções devido a obstruções. Qual foi a frequência de limpeza necessária na superfície, </w:t>
      </w:r>
      <w:proofErr w:type="gramStart"/>
      <w:r>
        <w:t>Houve</w:t>
      </w:r>
      <w:proofErr w:type="gramEnd"/>
      <w:r>
        <w:t xml:space="preserve"> ou não perda da superfície fotocatalítica ao longo dos experimentos.</w:t>
      </w:r>
    </w:p>
  </w:comment>
  <w:comment w:id="22" w:author="andre ferraz" w:date="2021-06-29T08:09:00Z" w:initials="af">
    <w:p w14:paraId="791E0956" w14:textId="4DFFB27E" w:rsidR="005D7FE2" w:rsidRDefault="005D7FE2">
      <w:pPr>
        <w:pStyle w:val="Textodecomentrio"/>
      </w:pPr>
      <w:r>
        <w:rPr>
          <w:rStyle w:val="Refdecomentrio"/>
        </w:rPr>
        <w:annotationRef/>
      </w:r>
      <w:r>
        <w:t xml:space="preserve">Salvo raríssimas exceções, o texto de R&amp;D deve ser sempre no passado. </w:t>
      </w:r>
    </w:p>
  </w:comment>
  <w:comment w:id="23" w:author="andre ferraz" w:date="2021-06-29T08:10:00Z" w:initials="af">
    <w:p w14:paraId="61CEFDB2" w14:textId="203AD69A" w:rsidR="005D7FE2" w:rsidRDefault="005D7FE2">
      <w:pPr>
        <w:pStyle w:val="Textodecomentrio"/>
      </w:pPr>
      <w:r>
        <w:rPr>
          <w:rStyle w:val="Refdecomentrio"/>
        </w:rPr>
        <w:annotationRef/>
      </w:r>
      <w:r>
        <w:t>Neste estudo também não foi. Portanto, essa é uma informação desnecessária que não contribui com a conclusão do trabalho</w:t>
      </w:r>
    </w:p>
  </w:comment>
  <w:comment w:id="24" w:author="andre ferraz" w:date="2021-06-29T08:11:00Z" w:initials="af">
    <w:p w14:paraId="0C478473" w14:textId="18D76E2D" w:rsidR="005D7FE2" w:rsidRDefault="005D7FE2">
      <w:pPr>
        <w:pStyle w:val="Textodecomentrio"/>
      </w:pPr>
      <w:r>
        <w:rPr>
          <w:rStyle w:val="Refdecomentrio"/>
        </w:rPr>
        <w:annotationRef/>
      </w:r>
      <w:r>
        <w:t xml:space="preserve">Entendo que aqui deveria haver uma maior sustentação das informações. Comentar, por exemplo, que a técnica permitiu gerar um filme de espessura homogênea, sem falhas de cobertura, resistente a arranhões (? </w:t>
      </w:r>
      <w:proofErr w:type="gramStart"/>
      <w:r>
        <w:t>foi</w:t>
      </w:r>
      <w:proofErr w:type="gramEnd"/>
      <w:r>
        <w:t xml:space="preserve"> ou não?), que não se desprendeu da superfície ao longo de </w:t>
      </w:r>
      <w:proofErr w:type="spellStart"/>
      <w:r>
        <w:t>xx</w:t>
      </w:r>
      <w:proofErr w:type="spellEnd"/>
      <w:r>
        <w:t xml:space="preserve"> meses de operação do reator, e o que mais puder ser adicionado sobre o reator</w:t>
      </w:r>
    </w:p>
  </w:comment>
  <w:comment w:id="25" w:author="andre ferraz" w:date="2021-06-29T08:17:00Z" w:initials="af">
    <w:p w14:paraId="3D9B9467" w14:textId="77777777" w:rsidR="005D7FE2" w:rsidRDefault="005D7FE2">
      <w:pPr>
        <w:pStyle w:val="Textodecomentrio"/>
      </w:pPr>
      <w:r>
        <w:rPr>
          <w:rStyle w:val="Refdecomentrio"/>
        </w:rPr>
        <w:annotationRef/>
      </w:r>
      <w:r>
        <w:t>Entendo haver um problema conceitual aqui:</w:t>
      </w:r>
    </w:p>
    <w:p w14:paraId="33739F22" w14:textId="77777777" w:rsidR="005D7FE2" w:rsidRDefault="005D7FE2">
      <w:pPr>
        <w:pStyle w:val="Textodecomentrio"/>
      </w:pPr>
      <w:r>
        <w:t>Parece que amostras estão sendo usadas como sinônimo de frações.</w:t>
      </w:r>
    </w:p>
    <w:p w14:paraId="6E087A81" w14:textId="77777777" w:rsidR="005D7FE2" w:rsidRDefault="005D7FE2">
      <w:pPr>
        <w:pStyle w:val="Textodecomentrio"/>
      </w:pPr>
      <w:r>
        <w:t xml:space="preserve">Do ponto de vista formal, percebo que o lixiviado foi fracionado em 2 partes: ácidos </w:t>
      </w:r>
      <w:proofErr w:type="spellStart"/>
      <w:r>
        <w:t>hímicos</w:t>
      </w:r>
      <w:proofErr w:type="spellEnd"/>
      <w:r>
        <w:t xml:space="preserve">; ácidos </w:t>
      </w:r>
      <w:proofErr w:type="spellStart"/>
      <w:r>
        <w:t>fúlvico+huminas</w:t>
      </w:r>
      <w:proofErr w:type="spellEnd"/>
    </w:p>
    <w:p w14:paraId="6A326207" w14:textId="77777777" w:rsidR="005D7FE2" w:rsidRDefault="005D7FE2">
      <w:pPr>
        <w:pStyle w:val="Textodecomentrio"/>
      </w:pPr>
    </w:p>
    <w:p w14:paraId="1C916695" w14:textId="77777777" w:rsidR="005D7FE2" w:rsidRDefault="005D7FE2">
      <w:pPr>
        <w:pStyle w:val="Textodecomentrio"/>
      </w:pPr>
      <w:r>
        <w:t>O pH não afeta os teores de fenóis e sim proporciona o fracionamento do lixiviado que, analisado separadamente, contém teores iniciais de fenóis que são próprios de cada fração.</w:t>
      </w:r>
    </w:p>
    <w:p w14:paraId="1119136F" w14:textId="77777777" w:rsidR="005D7FE2" w:rsidRDefault="005D7FE2">
      <w:pPr>
        <w:pStyle w:val="Textodecomentrio"/>
      </w:pPr>
    </w:p>
    <w:p w14:paraId="300FADFE" w14:textId="0386F6EB" w:rsidR="005D7FE2" w:rsidRDefault="005D7FE2">
      <w:pPr>
        <w:pStyle w:val="Textodecomentrio"/>
      </w:pPr>
      <w:r>
        <w:t>De fato, os dados das figuras, mostram agrupamento do teor inicial de fenóis de acordo com o pH ajustado na fração de cada lixiviado. É uma questão técnica associada à química analítica deste material, mas percebo que poderá haver questionamento de fundamento (não é objeto da redação científica) sobre estas determinações.</w:t>
      </w:r>
    </w:p>
  </w:comment>
  <w:comment w:id="26" w:author="andre ferraz" w:date="2021-06-29T08:26:00Z" w:initials="af">
    <w:p w14:paraId="28670497" w14:textId="08A7D506" w:rsidR="005D7FE2" w:rsidRDefault="005D7FE2">
      <w:pPr>
        <w:pStyle w:val="Textodecomentrio"/>
      </w:pPr>
      <w:r>
        <w:rPr>
          <w:rStyle w:val="Refdecomentrio"/>
        </w:rPr>
        <w:annotationRef/>
      </w:r>
      <w:proofErr w:type="gramStart"/>
      <w:r>
        <w:t>a</w:t>
      </w:r>
      <w:proofErr w:type="gramEnd"/>
      <w:r>
        <w:t xml:space="preserve"> palavra taxa remete a velocidade. </w:t>
      </w:r>
      <w:proofErr w:type="gramStart"/>
      <w:r>
        <w:t>eu</w:t>
      </w:r>
      <w:proofErr w:type="gramEnd"/>
      <w:r>
        <w:t xml:space="preserve"> empregaria a palavra “níveis” de degradação</w:t>
      </w:r>
    </w:p>
  </w:comment>
  <w:comment w:id="27" w:author="andre ferraz" w:date="2021-06-29T08:32:00Z" w:initials="af">
    <w:p w14:paraId="66A2A8CB" w14:textId="353C8972" w:rsidR="005D7FE2" w:rsidRDefault="005D7FE2">
      <w:pPr>
        <w:pStyle w:val="Textodecomentrio"/>
      </w:pPr>
      <w:r>
        <w:rPr>
          <w:rStyle w:val="Refdecomentrio"/>
        </w:rPr>
        <w:annotationRef/>
      </w:r>
      <w:r>
        <w:t>Tenho dúvida sobre se essa conclusão está tecnicamente correta, mas não é uma questão de redação científica</w:t>
      </w:r>
    </w:p>
  </w:comment>
  <w:comment w:id="28" w:author="andre ferraz" w:date="2021-06-29T08:34:00Z" w:initials="af">
    <w:p w14:paraId="4E1295E0" w14:textId="134B1CA0" w:rsidR="005D7FE2" w:rsidRDefault="005D7FE2">
      <w:pPr>
        <w:pStyle w:val="Textodecomentrio"/>
      </w:pPr>
      <w:r>
        <w:rPr>
          <w:rStyle w:val="Refdecomentrio"/>
        </w:rPr>
        <w:annotationRef/>
      </w:r>
      <w:r>
        <w:t xml:space="preserve">Nova questão técnica, mas a superfície não confirma a ANOVA. A superfície representa os dados calculados pelo modelo. A ANOVA sustenta que </w:t>
      </w:r>
      <w:proofErr w:type="gramStart"/>
      <w:r>
        <w:t>os valores calculados se aproxima</w:t>
      </w:r>
      <w:proofErr w:type="gramEnd"/>
      <w:r>
        <w:t xml:space="preserve"> dos experimentais dentro de um certo limite de confiança</w:t>
      </w:r>
    </w:p>
  </w:comment>
  <w:comment w:id="29" w:author="andre ferraz" w:date="2021-06-29T08:36:00Z" w:initials="af">
    <w:p w14:paraId="2A04558B" w14:textId="77777777" w:rsidR="005D7FE2" w:rsidRDefault="005D7FE2">
      <w:pPr>
        <w:pStyle w:val="Textodecomentrio"/>
      </w:pPr>
      <w:r>
        <w:rPr>
          <w:rStyle w:val="Refdecomentrio"/>
        </w:rPr>
        <w:annotationRef/>
      </w:r>
      <w:r>
        <w:t>Não é isso que a figura mostra.</w:t>
      </w:r>
    </w:p>
    <w:p w14:paraId="1AA04AC1" w14:textId="5F983009" w:rsidR="005D7FE2" w:rsidRDefault="005D7FE2">
      <w:pPr>
        <w:pStyle w:val="Textodecomentrio"/>
      </w:pPr>
      <w:r>
        <w:t>O que está ilustrado é a porcentagem de degradação dos fenóis na fração de ácidos húmicos em função das duas variáveis estudadas.</w:t>
      </w:r>
    </w:p>
  </w:comment>
  <w:comment w:id="30" w:author="andre ferraz" w:date="2021-06-29T08:37:00Z" w:initials="af">
    <w:p w14:paraId="6C77BBC2" w14:textId="100B9205" w:rsidR="005D7FE2" w:rsidRDefault="005D7FE2">
      <w:pPr>
        <w:pStyle w:val="Textodecomentrio"/>
      </w:pPr>
      <w:r>
        <w:rPr>
          <w:rStyle w:val="Refdecomentrio"/>
        </w:rPr>
        <w:annotationRef/>
      </w:r>
      <w:r>
        <w:t>Na escala de cores interna da figura deve aparecer: % de degradação de fenóis nos AH</w:t>
      </w:r>
    </w:p>
  </w:comment>
  <w:comment w:id="31" w:author="andre ferraz" w:date="2021-06-29T08:38:00Z" w:initials="af">
    <w:p w14:paraId="26ED7CFF" w14:textId="5B440D70" w:rsidR="005D7FE2" w:rsidRDefault="005D7FE2">
      <w:pPr>
        <w:pStyle w:val="Textodecomentrio"/>
      </w:pPr>
      <w:r>
        <w:rPr>
          <w:rStyle w:val="Refdecomentrio"/>
        </w:rPr>
        <w:annotationRef/>
      </w:r>
      <w:r>
        <w:t>Os ajustes comentados anteriormente valem para as figuras e textos seguintes</w:t>
      </w:r>
    </w:p>
  </w:comment>
  <w:comment w:id="32" w:author="andre ferraz" w:date="2021-06-29T08:41:00Z" w:initials="af">
    <w:p w14:paraId="4E3CE2D5" w14:textId="46952F96" w:rsidR="0061471A" w:rsidRDefault="0061471A">
      <w:pPr>
        <w:pStyle w:val="Textodecomentrio"/>
      </w:pPr>
      <w:r>
        <w:rPr>
          <w:rStyle w:val="Refdecomentrio"/>
        </w:rPr>
        <w:annotationRef/>
      </w:r>
      <w:r>
        <w:t>Abreviação sem indicação anterior do que se trata</w:t>
      </w:r>
    </w:p>
  </w:comment>
  <w:comment w:id="33" w:author="andre ferraz" w:date="2021-06-29T08:41:00Z" w:initials="af">
    <w:p w14:paraId="3EA0166B" w14:textId="77777777" w:rsidR="0061471A" w:rsidRDefault="0061471A">
      <w:pPr>
        <w:pStyle w:val="Textodecomentrio"/>
      </w:pPr>
      <w:r>
        <w:rPr>
          <w:rStyle w:val="Refdecomentrio"/>
        </w:rPr>
        <w:annotationRef/>
      </w:r>
      <w:r>
        <w:t>Nunca haverá melhores resultados para AH.</w:t>
      </w:r>
    </w:p>
    <w:p w14:paraId="644F7065" w14:textId="277326AF" w:rsidR="0061471A" w:rsidRDefault="0061471A">
      <w:pPr>
        <w:pStyle w:val="Textodecomentrio"/>
      </w:pPr>
      <w:r>
        <w:t xml:space="preserve">O que há são maiores eficiências de degradação de fenóis para uma dada fração em determinada condição. O </w:t>
      </w:r>
      <w:proofErr w:type="gramStart"/>
      <w:r>
        <w:t>texto científica</w:t>
      </w:r>
      <w:proofErr w:type="gramEnd"/>
      <w:r>
        <w:t xml:space="preserve"> tem que ser exato e mencionar exatamente o que se quer dizer sem subentender nada.</w:t>
      </w:r>
    </w:p>
  </w:comment>
  <w:comment w:id="34" w:author="andre ferraz" w:date="2021-06-29T08:43:00Z" w:initials="af">
    <w:p w14:paraId="079FD02F" w14:textId="30356409" w:rsidR="0061471A" w:rsidRDefault="0061471A">
      <w:pPr>
        <w:pStyle w:val="Textodecomentrio"/>
      </w:pPr>
      <w:r>
        <w:rPr>
          <w:rStyle w:val="Refdecomentrio"/>
        </w:rPr>
        <w:annotationRef/>
      </w:r>
      <w:proofErr w:type="gramStart"/>
      <w:r>
        <w:t>mesmo</w:t>
      </w:r>
      <w:proofErr w:type="gramEnd"/>
      <w:r>
        <w:t xml:space="preserve"> comentário anterior</w:t>
      </w:r>
    </w:p>
  </w:comment>
  <w:comment w:id="35" w:author="andre ferraz" w:date="2021-06-29T08:45:00Z" w:initials="af">
    <w:p w14:paraId="769AA016" w14:textId="77777777" w:rsidR="0061471A" w:rsidRDefault="0061471A">
      <w:pPr>
        <w:pStyle w:val="Textodecomentrio"/>
      </w:pPr>
      <w:r>
        <w:rPr>
          <w:rStyle w:val="Refdecomentrio"/>
        </w:rPr>
        <w:annotationRef/>
      </w:r>
      <w:r>
        <w:t>O texto requer exatidão.</w:t>
      </w:r>
    </w:p>
    <w:p w14:paraId="07B67DBB" w14:textId="77777777" w:rsidR="0061471A" w:rsidRDefault="0061471A">
      <w:pPr>
        <w:pStyle w:val="Textodecomentrio"/>
      </w:pPr>
      <w:r>
        <w:t>Faça a análise mencionada e obtenha as conclusões.</w:t>
      </w:r>
    </w:p>
    <w:p w14:paraId="02C078EE" w14:textId="61580791" w:rsidR="0061471A" w:rsidRDefault="0061471A">
      <w:pPr>
        <w:pStyle w:val="Textodecomentrio"/>
      </w:pPr>
      <w:r>
        <w:t>Perceba ainda se é válido fazer a separação de dados mencionada e para que ela serviria.</w:t>
      </w:r>
    </w:p>
    <w:p w14:paraId="0B4B7D5F" w14:textId="33689A00" w:rsidR="0061471A" w:rsidRDefault="0061471A">
      <w:pPr>
        <w:pStyle w:val="Textodecomentrio"/>
      </w:pPr>
      <w:r>
        <w:t>Me parece que seu conjunto de dados é mais completo e pode levar a uma conclusão mais abrangente do que a do estudo anterior. Talvez enfatizar sua maior abrangência em relação ao outro trabalho seja um ponto forte de suas conclusões.</w:t>
      </w:r>
    </w:p>
  </w:comment>
  <w:comment w:id="36" w:author="andre ferraz" w:date="2021-06-29T08:49:00Z" w:initials="af">
    <w:p w14:paraId="7D0B6659" w14:textId="6002528C" w:rsidR="0061471A" w:rsidRDefault="0061471A">
      <w:pPr>
        <w:pStyle w:val="Textodecomentrio"/>
      </w:pPr>
      <w:r>
        <w:rPr>
          <w:rStyle w:val="Refdecomentrio"/>
        </w:rPr>
        <w:annotationRef/>
      </w:r>
      <w:r>
        <w:t>Não haverá nenhuma conclusão que enfatize a utilidade do reator desenhado para o fototratamento?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C92023" w15:done="0"/>
  <w15:commentEx w15:paraId="120A93DB" w15:done="0"/>
  <w15:commentEx w15:paraId="258A9202" w15:done="0"/>
  <w15:commentEx w15:paraId="505F1772" w15:done="0"/>
  <w15:commentEx w15:paraId="3933D8B8" w15:done="0"/>
  <w15:commentEx w15:paraId="62D29955" w15:done="0"/>
  <w15:commentEx w15:paraId="6FC97A4A" w15:done="0"/>
  <w15:commentEx w15:paraId="22B447AC" w15:done="0"/>
  <w15:commentEx w15:paraId="2F618C1A" w15:done="0"/>
  <w15:commentEx w15:paraId="53E099D0" w15:done="0"/>
  <w15:commentEx w15:paraId="376705F7" w15:done="0"/>
  <w15:commentEx w15:paraId="2AC76875" w15:done="0"/>
  <w15:commentEx w15:paraId="0176A642" w15:done="0"/>
  <w15:commentEx w15:paraId="3C7D41AF" w15:done="0"/>
  <w15:commentEx w15:paraId="32750828" w15:done="0"/>
  <w15:commentEx w15:paraId="44CA5696" w15:done="0"/>
  <w15:commentEx w15:paraId="449F229B" w15:done="0"/>
  <w15:commentEx w15:paraId="69B5CC0E" w15:done="0"/>
  <w15:commentEx w15:paraId="64B3709F" w15:done="0"/>
  <w15:commentEx w15:paraId="1BAA7982" w15:done="0"/>
  <w15:commentEx w15:paraId="791E0956" w15:done="0"/>
  <w15:commentEx w15:paraId="61CEFDB2" w15:done="0"/>
  <w15:commentEx w15:paraId="0C478473" w15:done="0"/>
  <w15:commentEx w15:paraId="300FADFE" w15:done="0"/>
  <w15:commentEx w15:paraId="28670497" w15:done="0"/>
  <w15:commentEx w15:paraId="66A2A8CB" w15:done="0"/>
  <w15:commentEx w15:paraId="4E1295E0" w15:done="0"/>
  <w15:commentEx w15:paraId="1AA04AC1" w15:done="0"/>
  <w15:commentEx w15:paraId="6C77BBC2" w15:done="0"/>
  <w15:commentEx w15:paraId="26ED7CFF" w15:done="0"/>
  <w15:commentEx w15:paraId="4E3CE2D5" w15:done="0"/>
  <w15:commentEx w15:paraId="644F7065" w15:done="0"/>
  <w15:commentEx w15:paraId="079FD02F" w15:done="0"/>
  <w15:commentEx w15:paraId="0B4B7D5F" w15:done="0"/>
  <w15:commentEx w15:paraId="7D0B66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6D788" w16cex:dateUtc="2021-06-18T11:27:00Z"/>
  <w16cex:commentExtensible w16cex:durableId="2476D7FD" w16cex:dateUtc="2021-06-18T11:29:00Z"/>
  <w16cex:commentExtensible w16cex:durableId="2476D886" w16cex:dateUtc="2021-06-18T11:32:00Z"/>
  <w16cex:commentExtensible w16cex:durableId="2476D8F7" w16cex:dateUtc="2021-06-18T11:33:00Z"/>
  <w16cex:commentExtensible w16cex:durableId="2476D903" w16cex:dateUtc="2021-06-18T11:34:00Z"/>
  <w16cex:commentExtensible w16cex:durableId="2476D91A" w16cex:dateUtc="2021-06-18T11:34:00Z"/>
  <w16cex:commentExtensible w16cex:durableId="2476D924" w16cex:dateUtc="2021-06-18T11:34:00Z"/>
  <w16cex:commentExtensible w16cex:durableId="2476D934" w16cex:dateUtc="2021-06-18T11:35:00Z"/>
  <w16cex:commentExtensible w16cex:durableId="2476D944" w16cex:dateUtc="2021-06-18T11:35:00Z"/>
  <w16cex:commentExtensible w16cex:durableId="2476D951" w16cex:dateUtc="2021-06-18T11:35:00Z"/>
  <w16cex:commentExtensible w16cex:durableId="2476D982" w16cex:dateUtc="2021-06-18T11:36:00Z"/>
  <w16cex:commentExtensible w16cex:durableId="2476D9AF" w16cex:dateUtc="2021-06-18T11:37:00Z"/>
  <w16cex:commentExtensible w16cex:durableId="2476DA0B" w16cex:dateUtc="2021-06-18T11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466645" w16cid:durableId="2476D788"/>
  <w16cid:commentId w16cid:paraId="58341C82" w16cid:durableId="2476F7EA"/>
  <w16cid:commentId w16cid:paraId="0E0E1687" w16cid:durableId="2476D7FD"/>
  <w16cid:commentId w16cid:paraId="02B47971" w16cid:durableId="2476D886"/>
  <w16cid:commentId w16cid:paraId="3229DA34" w16cid:durableId="2476F9B1"/>
  <w16cid:commentId w16cid:paraId="5D53980A" w16cid:durableId="2476FA16"/>
  <w16cid:commentId w16cid:paraId="1C09F214" w16cid:durableId="2476D8F7"/>
  <w16cid:commentId w16cid:paraId="754136F8" w16cid:durableId="2476D903"/>
  <w16cid:commentId w16cid:paraId="56B9589A" w16cid:durableId="2476D91A"/>
  <w16cid:commentId w16cid:paraId="4CF83EAE" w16cid:durableId="2476D924"/>
  <w16cid:commentId w16cid:paraId="1D960990" w16cid:durableId="2476FAE1"/>
  <w16cid:commentId w16cid:paraId="5DE220B7" w16cid:durableId="2476D934"/>
  <w16cid:commentId w16cid:paraId="2CF4C60A" w16cid:durableId="2476D944"/>
  <w16cid:commentId w16cid:paraId="36D5BA0B" w16cid:durableId="2476D951"/>
  <w16cid:commentId w16cid:paraId="79637EF8" w16cid:durableId="2476D982"/>
  <w16cid:commentId w16cid:paraId="69ADFB20" w16cid:durableId="2476D9AF"/>
  <w16cid:commentId w16cid:paraId="62418B20" w16cid:durableId="2476DA0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316A2"/>
    <w:multiLevelType w:val="multilevel"/>
    <w:tmpl w:val="F032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 ferraz">
    <w15:presenceInfo w15:providerId="Windows Live" w15:userId="4cc38714a0bfa9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CxsDQyMzE3NLA0N7NQ0lEKTi0uzszPAykwrAUAN8JCDywAAAA="/>
  </w:docVars>
  <w:rsids>
    <w:rsidRoot w:val="00F92DB0"/>
    <w:rsid w:val="000163FA"/>
    <w:rsid w:val="000248B1"/>
    <w:rsid w:val="000270C5"/>
    <w:rsid w:val="000501A5"/>
    <w:rsid w:val="00071A69"/>
    <w:rsid w:val="000A0716"/>
    <w:rsid w:val="000A3824"/>
    <w:rsid w:val="00110C6B"/>
    <w:rsid w:val="00122452"/>
    <w:rsid w:val="0012289C"/>
    <w:rsid w:val="00173892"/>
    <w:rsid w:val="00190CBD"/>
    <w:rsid w:val="001C4A8A"/>
    <w:rsid w:val="00207F46"/>
    <w:rsid w:val="0021300C"/>
    <w:rsid w:val="00217F88"/>
    <w:rsid w:val="002833C3"/>
    <w:rsid w:val="00290CFF"/>
    <w:rsid w:val="002944B6"/>
    <w:rsid w:val="002F3F81"/>
    <w:rsid w:val="00356ADA"/>
    <w:rsid w:val="00374A2A"/>
    <w:rsid w:val="00387756"/>
    <w:rsid w:val="003E1D49"/>
    <w:rsid w:val="003F087D"/>
    <w:rsid w:val="003F0FC2"/>
    <w:rsid w:val="003F649B"/>
    <w:rsid w:val="004049CE"/>
    <w:rsid w:val="00420729"/>
    <w:rsid w:val="004552FC"/>
    <w:rsid w:val="00473877"/>
    <w:rsid w:val="00493010"/>
    <w:rsid w:val="004A58A2"/>
    <w:rsid w:val="004A5ED6"/>
    <w:rsid w:val="004F609D"/>
    <w:rsid w:val="004F729E"/>
    <w:rsid w:val="00544BEC"/>
    <w:rsid w:val="005618B2"/>
    <w:rsid w:val="005D7FE2"/>
    <w:rsid w:val="005E5131"/>
    <w:rsid w:val="0061471A"/>
    <w:rsid w:val="006162DE"/>
    <w:rsid w:val="00617E10"/>
    <w:rsid w:val="00650B3C"/>
    <w:rsid w:val="0065548B"/>
    <w:rsid w:val="00664DB5"/>
    <w:rsid w:val="006B1702"/>
    <w:rsid w:val="006E2A84"/>
    <w:rsid w:val="00734A30"/>
    <w:rsid w:val="00740EF1"/>
    <w:rsid w:val="0074672F"/>
    <w:rsid w:val="007A3D7C"/>
    <w:rsid w:val="007C1221"/>
    <w:rsid w:val="007D28A0"/>
    <w:rsid w:val="007E0DD7"/>
    <w:rsid w:val="00815CDC"/>
    <w:rsid w:val="00835ECE"/>
    <w:rsid w:val="00836FA7"/>
    <w:rsid w:val="00847DE4"/>
    <w:rsid w:val="00883DF7"/>
    <w:rsid w:val="00900AC9"/>
    <w:rsid w:val="00902991"/>
    <w:rsid w:val="00936A99"/>
    <w:rsid w:val="0095055B"/>
    <w:rsid w:val="00952233"/>
    <w:rsid w:val="00981C46"/>
    <w:rsid w:val="009B1ED9"/>
    <w:rsid w:val="009D0998"/>
    <w:rsid w:val="009D377D"/>
    <w:rsid w:val="009E224F"/>
    <w:rsid w:val="009E6127"/>
    <w:rsid w:val="009F1475"/>
    <w:rsid w:val="009F30DA"/>
    <w:rsid w:val="00A11118"/>
    <w:rsid w:val="00A4733A"/>
    <w:rsid w:val="00A75067"/>
    <w:rsid w:val="00A9024A"/>
    <w:rsid w:val="00A90F47"/>
    <w:rsid w:val="00AC53D5"/>
    <w:rsid w:val="00AD6ED4"/>
    <w:rsid w:val="00AE0C91"/>
    <w:rsid w:val="00B2785D"/>
    <w:rsid w:val="00B56F82"/>
    <w:rsid w:val="00B8636E"/>
    <w:rsid w:val="00B926B9"/>
    <w:rsid w:val="00B94BBA"/>
    <w:rsid w:val="00BD2EEA"/>
    <w:rsid w:val="00C23E12"/>
    <w:rsid w:val="00CC281F"/>
    <w:rsid w:val="00CC50AD"/>
    <w:rsid w:val="00D1175A"/>
    <w:rsid w:val="00D35D4F"/>
    <w:rsid w:val="00D458C5"/>
    <w:rsid w:val="00D45E4E"/>
    <w:rsid w:val="00D50222"/>
    <w:rsid w:val="00D50C73"/>
    <w:rsid w:val="00D566F5"/>
    <w:rsid w:val="00D70793"/>
    <w:rsid w:val="00D74C82"/>
    <w:rsid w:val="00D875CC"/>
    <w:rsid w:val="00D971B3"/>
    <w:rsid w:val="00DA4C1C"/>
    <w:rsid w:val="00DA7C31"/>
    <w:rsid w:val="00DB5D15"/>
    <w:rsid w:val="00DB78B3"/>
    <w:rsid w:val="00DE61BB"/>
    <w:rsid w:val="00E0163C"/>
    <w:rsid w:val="00E02D0D"/>
    <w:rsid w:val="00E2371F"/>
    <w:rsid w:val="00E246FC"/>
    <w:rsid w:val="00E350BE"/>
    <w:rsid w:val="00E51F33"/>
    <w:rsid w:val="00E81110"/>
    <w:rsid w:val="00EA4030"/>
    <w:rsid w:val="00EA41A8"/>
    <w:rsid w:val="00F552D6"/>
    <w:rsid w:val="00F570E2"/>
    <w:rsid w:val="00F73E0A"/>
    <w:rsid w:val="00F761B6"/>
    <w:rsid w:val="00F92DB0"/>
    <w:rsid w:val="00FA4841"/>
    <w:rsid w:val="00FB0371"/>
    <w:rsid w:val="00FB794C"/>
    <w:rsid w:val="00FC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EC8827"/>
  <w15:docId w15:val="{5B3243AF-2942-429F-8C03-F5395CDE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82D"/>
  </w:style>
  <w:style w:type="paragraph" w:styleId="Ttulo1">
    <w:name w:val="heading 1"/>
    <w:basedOn w:val="Normal"/>
    <w:next w:val="Normal"/>
    <w:link w:val="Ttulo1Char"/>
    <w:uiPriority w:val="9"/>
    <w:qFormat/>
    <w:rsid w:val="006C26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23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2308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qFormat/>
    <w:rsid w:val="0023082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3082D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97392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C26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inkdaInternet">
    <w:name w:val="Link da Internet"/>
    <w:basedOn w:val="Fontepargpadro"/>
    <w:uiPriority w:val="99"/>
    <w:unhideWhenUsed/>
    <w:rsid w:val="00E2371F"/>
    <w:rPr>
      <w:color w:val="0563C1" w:themeColor="hyperlink"/>
      <w:u w:val="single"/>
    </w:rPr>
  </w:style>
  <w:style w:type="paragraph" w:customStyle="1" w:styleId="Contedodatabela">
    <w:name w:val="Conteúdo da tabela"/>
    <w:basedOn w:val="Normal"/>
    <w:qFormat/>
    <w:rsid w:val="00173892"/>
    <w:pPr>
      <w:widowControl w:val="0"/>
      <w:suppressLineNumbers/>
      <w:suppressAutoHyphens/>
    </w:pPr>
    <w:rPr>
      <w:rFonts w:asciiTheme="minorHAnsi" w:eastAsiaTheme="minorHAnsi" w:hAnsiTheme="minorHAnsi" w:cstheme="minorBidi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CC50AD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350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50B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50B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50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50B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4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BEC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CC28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9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https://doi.org/10.1016/j.reactfunctpolym.2018.04.017" TargetMode="External"/><Relationship Id="rId39" Type="http://schemas.openxmlformats.org/officeDocument/2006/relationships/hyperlink" Target="https://doi.org/10.1039/d0cs01363c" TargetMode="External"/><Relationship Id="rId3" Type="http://schemas.openxmlformats.org/officeDocument/2006/relationships/styles" Target="styles.xml"/><Relationship Id="rId21" Type="http://schemas.openxmlformats.org/officeDocument/2006/relationships/hyperlink" Target="https://abrelpe.org.br/panorama-2020" TargetMode="External"/><Relationship Id="rId34" Type="http://schemas.openxmlformats.org/officeDocument/2006/relationships/hyperlink" Target="https://doi.org/10.1016/j.psep.2021.05.015" TargetMode="External"/><Relationship Id="rId42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oi.org/10.1016/j.scitotenv.2019.135406" TargetMode="External"/><Relationship Id="rId33" Type="http://schemas.openxmlformats.org/officeDocument/2006/relationships/hyperlink" Target="https://doi.org/10.1016/j.seppur.2013.09.019" TargetMode="External"/><Relationship Id="rId38" Type="http://schemas.openxmlformats.org/officeDocument/2006/relationships/hyperlink" Target="https://doi.org/10.1080/09593330.2016.123522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i.org/10.1016/j.scitotenv.2019.02.313" TargetMode="Externa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ebertpub.com/loi/ees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oi.org/10.1039/C8RA07936F" TargetMode="External"/><Relationship Id="rId32" Type="http://schemas.openxmlformats.org/officeDocument/2006/relationships/hyperlink" Target="https://doi.org/10.1021/acs.jafc.7b04942" TargetMode="External"/><Relationship Id="rId37" Type="http://schemas.openxmlformats.org/officeDocument/2006/relationships/hyperlink" Target="https://doi.org/10.1007/s10854-019-01381-2" TargetMode="External"/><Relationship Id="rId40" Type="http://schemas.openxmlformats.org/officeDocument/2006/relationships/fontTable" Target="fontTable.xm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016/j.scitotenv.2019.01.137" TargetMode="External"/><Relationship Id="rId28" Type="http://schemas.openxmlformats.org/officeDocument/2006/relationships/hyperlink" Target="https://doi.org/10.1016/j.aca.2004.10.011" TargetMode="External"/><Relationship Id="rId36" Type="http://schemas.openxmlformats.org/officeDocument/2006/relationships/hyperlink" Target="https://doi.org/10.1016/j.jphotochem.2020.11274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oi.org/10.1016/j.scitotenv.2013.08.044" TargetMode="External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oi.org/10.1016/j.jenvman.2018.11.006" TargetMode="External"/><Relationship Id="rId27" Type="http://schemas.openxmlformats.org/officeDocument/2006/relationships/hyperlink" Target="https://doi.org/10.1016/j.chemosphere.2008.01.061" TargetMode="External"/><Relationship Id="rId30" Type="http://schemas.openxmlformats.org/officeDocument/2006/relationships/hyperlink" Target="https://doi.org/10.1016/j.mssp.2021.105786" TargetMode="External"/><Relationship Id="rId35" Type="http://schemas.openxmlformats.org/officeDocument/2006/relationships/hyperlink" Target="https://doi.org/10.1007/s12649-018-0297-7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ZGl/o8kk10Pp+R8GeLQ7rt8xZA==">AMUW2mUTMVe0KeQR5S0W51FoRQkDGm0yYyxV7g8/WJ2VU9ikP2zCvcg0xTjKr0mzLH+Qcx7QwGM+ORfyFNbn4942LPiGEzj2sQ/CcqvKriep5oyuPtwiTUPplETDwZ0EWYS8Wxj7zhyT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19</Pages>
  <Words>5249</Words>
  <Characters>28348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LUIS NOHARA</dc:creator>
  <cp:lastModifiedBy>andre ferraz</cp:lastModifiedBy>
  <cp:revision>8</cp:revision>
  <dcterms:created xsi:type="dcterms:W3CDTF">2021-06-25T17:09:00Z</dcterms:created>
  <dcterms:modified xsi:type="dcterms:W3CDTF">2021-06-29T14:52:00Z</dcterms:modified>
</cp:coreProperties>
</file>