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EC59" w14:textId="77777777" w:rsidR="00353499" w:rsidRPr="00BC099D" w:rsidRDefault="00353499" w:rsidP="00BC099D">
      <w:pPr>
        <w:spacing w:after="200" w:line="240" w:lineRule="auto"/>
        <w:jc w:val="both"/>
        <w:rPr>
          <w:rFonts w:ascii="Times" w:hAnsi="Times" w:cs="Times New Roman"/>
          <w:sz w:val="24"/>
          <w:szCs w:val="24"/>
        </w:rPr>
      </w:pPr>
      <w:r w:rsidRPr="00BC099D">
        <w:rPr>
          <w:rFonts w:ascii="Times" w:hAnsi="Times" w:cs="Times New Roman"/>
          <w:sz w:val="24"/>
          <w:szCs w:val="24"/>
        </w:rPr>
        <w:t xml:space="preserve">Disciplina </w:t>
      </w:r>
      <w:r w:rsidRPr="00BC099D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RCM5918: Atualização em dermatoses </w:t>
      </w:r>
      <w:proofErr w:type="spellStart"/>
      <w:r w:rsidRPr="00BC099D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>bolhosas</w:t>
      </w:r>
      <w:proofErr w:type="spellEnd"/>
      <w:r w:rsidRPr="00BC099D">
        <w:rPr>
          <w:rFonts w:ascii="Times" w:hAnsi="Times" w:cs="Times New Roman"/>
          <w:color w:val="222222"/>
          <w:sz w:val="24"/>
          <w:szCs w:val="24"/>
          <w:shd w:val="clear" w:color="auto" w:fill="FFFFFF"/>
        </w:rPr>
        <w:t xml:space="preserve"> autoimunes−Seminários</w:t>
      </w:r>
      <w:r w:rsidRPr="00BC099D">
        <w:rPr>
          <w:rFonts w:ascii="Times" w:hAnsi="Times" w:cs="Times New Roman"/>
          <w:sz w:val="24"/>
          <w:szCs w:val="24"/>
        </w:rPr>
        <w:t>. Coordenadores: Ana Maria Roselino; Roberto Bueno Filho; Helena Barbosa Lugão</w:t>
      </w:r>
    </w:p>
    <w:p w14:paraId="034FEE33" w14:textId="06893DAC" w:rsidR="00A34FBF" w:rsidRPr="006C3BF4" w:rsidRDefault="00353499" w:rsidP="00BC099D">
      <w:pPr>
        <w:pBdr>
          <w:bottom w:val="single" w:sz="4" w:space="1" w:color="auto"/>
        </w:pBdr>
        <w:spacing w:after="200" w:line="240" w:lineRule="auto"/>
        <w:jc w:val="both"/>
        <w:rPr>
          <w:rFonts w:ascii="Times" w:hAnsi="Times" w:cs="Times New Roman"/>
          <w:b/>
          <w:sz w:val="28"/>
          <w:szCs w:val="28"/>
        </w:rPr>
      </w:pPr>
      <w:r w:rsidRPr="006C3BF4">
        <w:rPr>
          <w:rFonts w:ascii="Times" w:hAnsi="Times" w:cs="Times New Roman"/>
          <w:b/>
          <w:sz w:val="28"/>
          <w:szCs w:val="28"/>
        </w:rPr>
        <w:t>Avaliação</w:t>
      </w:r>
      <w:r w:rsidR="00C80DE7" w:rsidRPr="006C3BF4">
        <w:rPr>
          <w:rFonts w:ascii="Times" w:hAnsi="Times" w:cs="Times New Roman"/>
          <w:b/>
          <w:sz w:val="28"/>
          <w:szCs w:val="28"/>
        </w:rPr>
        <w:t xml:space="preserve"> </w:t>
      </w:r>
      <w:r w:rsidR="007511A8">
        <w:rPr>
          <w:rFonts w:ascii="Times" w:hAnsi="Times" w:cs="Times New Roman"/>
          <w:b/>
          <w:color w:val="002060"/>
          <w:sz w:val="28"/>
          <w:szCs w:val="28"/>
        </w:rPr>
        <w:t>01</w:t>
      </w:r>
      <w:r w:rsidR="00C80DE7" w:rsidRPr="006C3BF4">
        <w:rPr>
          <w:rFonts w:ascii="Times" w:hAnsi="Times" w:cs="Times New Roman"/>
          <w:b/>
          <w:color w:val="002060"/>
          <w:sz w:val="28"/>
          <w:szCs w:val="28"/>
        </w:rPr>
        <w:t xml:space="preserve"> a </w:t>
      </w:r>
      <w:r w:rsidR="007511A8">
        <w:rPr>
          <w:rFonts w:ascii="Times" w:hAnsi="Times" w:cs="Times New Roman"/>
          <w:b/>
          <w:color w:val="002060"/>
          <w:sz w:val="28"/>
          <w:szCs w:val="28"/>
        </w:rPr>
        <w:t>07</w:t>
      </w:r>
      <w:r w:rsidR="00C80DE7" w:rsidRPr="006C3BF4">
        <w:rPr>
          <w:rFonts w:ascii="Times" w:hAnsi="Times" w:cs="Times New Roman"/>
          <w:b/>
          <w:color w:val="002060"/>
          <w:sz w:val="28"/>
          <w:szCs w:val="28"/>
        </w:rPr>
        <w:t>/12/2020</w:t>
      </w:r>
    </w:p>
    <w:p w14:paraId="2C71C22A" w14:textId="11A437A2" w:rsidR="00353499" w:rsidRPr="006C3BF4" w:rsidRDefault="00353499" w:rsidP="00BC099D">
      <w:pPr>
        <w:spacing w:after="200" w:line="240" w:lineRule="auto"/>
        <w:jc w:val="both"/>
        <w:rPr>
          <w:rFonts w:ascii="Times" w:hAnsi="Times" w:cs="Times New Roman"/>
          <w:b/>
          <w:sz w:val="28"/>
          <w:szCs w:val="28"/>
        </w:rPr>
      </w:pPr>
      <w:r w:rsidRPr="006C3BF4">
        <w:rPr>
          <w:rFonts w:ascii="Times" w:hAnsi="Times" w:cs="Times New Roman"/>
          <w:b/>
          <w:sz w:val="28"/>
          <w:szCs w:val="28"/>
        </w:rPr>
        <w:t>Dois casos clínicos são apresentados: A e B</w:t>
      </w:r>
      <w:r w:rsidR="000241C8" w:rsidRPr="006C3BF4">
        <w:rPr>
          <w:rFonts w:ascii="Times" w:hAnsi="Times" w:cs="Times New Roman"/>
          <w:b/>
          <w:sz w:val="28"/>
          <w:szCs w:val="28"/>
        </w:rPr>
        <w:t xml:space="preserve">. Os dados clínicos </w:t>
      </w:r>
      <w:r w:rsidR="000E08A0" w:rsidRPr="006C3BF4">
        <w:rPr>
          <w:rFonts w:ascii="Times" w:hAnsi="Times" w:cs="Times New Roman"/>
          <w:b/>
          <w:sz w:val="28"/>
          <w:szCs w:val="28"/>
        </w:rPr>
        <w:t xml:space="preserve">e laboratoriais </w:t>
      </w:r>
      <w:r w:rsidR="000241C8" w:rsidRPr="006C3BF4">
        <w:rPr>
          <w:rFonts w:ascii="Times" w:hAnsi="Times" w:cs="Times New Roman"/>
          <w:b/>
          <w:sz w:val="28"/>
          <w:szCs w:val="28"/>
        </w:rPr>
        <w:t>são descritos a seguir</w:t>
      </w:r>
      <w:r w:rsidR="006C3BF4" w:rsidRPr="006C3BF4">
        <w:rPr>
          <w:rFonts w:ascii="Times" w:hAnsi="Times" w:cs="Times New Roman"/>
          <w:b/>
          <w:sz w:val="28"/>
          <w:szCs w:val="28"/>
        </w:rPr>
        <w:t xml:space="preserve"> </w:t>
      </w:r>
      <w:r w:rsidR="006C3BF4" w:rsidRPr="006C3BF4">
        <w:rPr>
          <w:rFonts w:ascii="Times" w:hAnsi="Times" w:cs="Times New Roman"/>
          <w:b/>
          <w:color w:val="002060"/>
          <w:sz w:val="28"/>
          <w:szCs w:val="28"/>
        </w:rPr>
        <w:t>nas páginas 2 e 3</w:t>
      </w:r>
      <w:r w:rsidR="000241C8" w:rsidRPr="006C3BF4">
        <w:rPr>
          <w:rFonts w:ascii="Times" w:hAnsi="Times" w:cs="Times New Roman"/>
          <w:b/>
          <w:sz w:val="28"/>
          <w:szCs w:val="28"/>
        </w:rPr>
        <w:t xml:space="preserve">. </w:t>
      </w:r>
    </w:p>
    <w:p w14:paraId="7FFBEF88" w14:textId="77777777" w:rsidR="002570A1" w:rsidRDefault="002570A1">
      <w:pPr>
        <w:spacing w:line="259" w:lineRule="auto"/>
        <w:rPr>
          <w:rFonts w:ascii="Times" w:hAnsi="Times" w:cs="Times New Roman"/>
          <w:b/>
          <w:sz w:val="24"/>
          <w:szCs w:val="24"/>
        </w:rPr>
      </w:pPr>
    </w:p>
    <w:p w14:paraId="7F2127F1" w14:textId="77777777" w:rsidR="002570A1" w:rsidRPr="006C3BF4" w:rsidRDefault="002570A1" w:rsidP="002570A1">
      <w:pPr>
        <w:spacing w:after="200" w:line="240" w:lineRule="auto"/>
        <w:jc w:val="both"/>
        <w:rPr>
          <w:rFonts w:ascii="Times" w:hAnsi="Times" w:cs="Times New Roman"/>
          <w:b/>
          <w:sz w:val="28"/>
          <w:szCs w:val="28"/>
        </w:rPr>
      </w:pPr>
      <w:r w:rsidRPr="006C3BF4">
        <w:rPr>
          <w:rFonts w:ascii="Times" w:hAnsi="Times" w:cs="Times New Roman"/>
          <w:b/>
          <w:sz w:val="28"/>
          <w:szCs w:val="28"/>
        </w:rPr>
        <w:t>Questões:</w:t>
      </w:r>
    </w:p>
    <w:p w14:paraId="36064C5A" w14:textId="77777777" w:rsidR="002570A1" w:rsidRPr="00BC099D" w:rsidRDefault="002570A1" w:rsidP="002570A1">
      <w:pPr>
        <w:spacing w:after="200" w:line="240" w:lineRule="auto"/>
        <w:jc w:val="both"/>
        <w:rPr>
          <w:rFonts w:ascii="Times" w:hAnsi="Times" w:cs="Times New Roman"/>
          <w:sz w:val="24"/>
          <w:szCs w:val="24"/>
        </w:rPr>
      </w:pPr>
      <w:r w:rsidRPr="00BC099D">
        <w:rPr>
          <w:rFonts w:ascii="Times" w:hAnsi="Times" w:cs="Times New Roman"/>
          <w:sz w:val="24"/>
          <w:szCs w:val="24"/>
        </w:rPr>
        <w:t>(1) Quais são os dados clínicos e laboratoriais que possibilitam os diagnósticos dos casos A e B? Justificar.</w:t>
      </w:r>
    </w:p>
    <w:p w14:paraId="2AABDFA7" w14:textId="77777777" w:rsidR="002570A1" w:rsidRPr="00BC099D" w:rsidRDefault="002570A1" w:rsidP="002570A1">
      <w:pPr>
        <w:spacing w:after="200" w:line="240" w:lineRule="auto"/>
        <w:jc w:val="both"/>
        <w:rPr>
          <w:rFonts w:ascii="Times" w:hAnsi="Times" w:cs="Times New Roman"/>
          <w:color w:val="FF0000"/>
          <w:sz w:val="24"/>
          <w:szCs w:val="24"/>
        </w:rPr>
      </w:pPr>
      <w:r w:rsidRPr="00BC099D">
        <w:rPr>
          <w:rFonts w:ascii="Times" w:hAnsi="Times" w:cs="Times New Roman"/>
          <w:sz w:val="24"/>
          <w:szCs w:val="24"/>
        </w:rPr>
        <w:t>(2) Quais são as imagens dos exames laboratoriais (</w:t>
      </w:r>
      <w:proofErr w:type="spellStart"/>
      <w:r w:rsidRPr="00BC099D">
        <w:rPr>
          <w:rFonts w:ascii="Times" w:hAnsi="Times" w:cs="Times New Roman"/>
          <w:sz w:val="24"/>
          <w:szCs w:val="24"/>
        </w:rPr>
        <w:t>imunofluorescência</w:t>
      </w:r>
      <w:proofErr w:type="spellEnd"/>
      <w:r w:rsidRPr="00BC099D">
        <w:rPr>
          <w:rFonts w:ascii="Times" w:hAnsi="Times" w:cs="Times New Roman"/>
          <w:sz w:val="24"/>
          <w:szCs w:val="24"/>
        </w:rPr>
        <w:t xml:space="preserve"> indireta e </w:t>
      </w:r>
      <w:proofErr w:type="spellStart"/>
      <w:r w:rsidRPr="00BC099D">
        <w:rPr>
          <w:rFonts w:ascii="Times" w:hAnsi="Times" w:cs="Times New Roman"/>
          <w:sz w:val="24"/>
          <w:szCs w:val="24"/>
        </w:rPr>
        <w:t>immunoblotting</w:t>
      </w:r>
      <w:proofErr w:type="spellEnd"/>
      <w:r w:rsidRPr="00BC099D">
        <w:rPr>
          <w:rFonts w:ascii="Times" w:hAnsi="Times" w:cs="Times New Roman"/>
          <w:sz w:val="24"/>
          <w:szCs w:val="24"/>
        </w:rPr>
        <w:t xml:space="preserve">) que contemplam os diagnósticos dos casos A e B? Justificar. </w:t>
      </w:r>
      <w:r w:rsidRPr="00BC099D">
        <w:rPr>
          <w:rFonts w:ascii="Times" w:hAnsi="Times" w:cs="Times New Roman"/>
          <w:color w:val="FF0000"/>
          <w:sz w:val="24"/>
          <w:szCs w:val="24"/>
        </w:rPr>
        <w:t>(ver imagens no pp)</w:t>
      </w:r>
    </w:p>
    <w:p w14:paraId="1EAFE409" w14:textId="77777777" w:rsidR="002570A1" w:rsidRPr="00BC099D" w:rsidRDefault="002570A1" w:rsidP="002570A1">
      <w:pPr>
        <w:spacing w:after="200" w:line="240" w:lineRule="auto"/>
        <w:jc w:val="both"/>
        <w:rPr>
          <w:rFonts w:ascii="Times" w:hAnsi="Times" w:cs="Times New Roman"/>
          <w:sz w:val="24"/>
          <w:szCs w:val="24"/>
        </w:rPr>
      </w:pPr>
      <w:r w:rsidRPr="00BC099D">
        <w:rPr>
          <w:rFonts w:ascii="Times" w:hAnsi="Times" w:cs="Times New Roman"/>
          <w:sz w:val="24"/>
          <w:szCs w:val="24"/>
        </w:rPr>
        <w:t xml:space="preserve">(3) Quais são as moléculas envolvidas na patogênese dos casos A e B? Justificar. </w:t>
      </w:r>
      <w:r w:rsidRPr="00BC099D">
        <w:rPr>
          <w:rFonts w:ascii="Times" w:hAnsi="Times" w:cs="Times New Roman"/>
          <w:color w:val="FF0000"/>
          <w:sz w:val="24"/>
          <w:szCs w:val="24"/>
        </w:rPr>
        <w:t>(ver imagem no pp)</w:t>
      </w:r>
    </w:p>
    <w:p w14:paraId="5CCBE2FE" w14:textId="77777777" w:rsidR="002570A1" w:rsidRPr="00BC099D" w:rsidRDefault="002570A1" w:rsidP="002570A1">
      <w:pPr>
        <w:spacing w:after="20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530B93F" w14:textId="77777777" w:rsidR="00C80DE7" w:rsidRDefault="00C80DE7">
      <w:pPr>
        <w:spacing w:line="259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br w:type="page"/>
      </w:r>
    </w:p>
    <w:p w14:paraId="2332A279" w14:textId="5CF8F08A" w:rsidR="00353499" w:rsidRPr="00BC099D" w:rsidRDefault="00353499" w:rsidP="00BC099D">
      <w:pPr>
        <w:spacing w:after="200" w:line="240" w:lineRule="auto"/>
        <w:jc w:val="both"/>
        <w:rPr>
          <w:rFonts w:ascii="Times" w:hAnsi="Times" w:cs="Times New Roman"/>
          <w:b/>
          <w:color w:val="FF0000"/>
          <w:sz w:val="24"/>
          <w:szCs w:val="24"/>
        </w:rPr>
      </w:pPr>
      <w:r w:rsidRPr="00BC099D">
        <w:rPr>
          <w:rFonts w:ascii="Times" w:hAnsi="Times" w:cs="Times New Roman"/>
          <w:b/>
          <w:sz w:val="24"/>
          <w:szCs w:val="24"/>
        </w:rPr>
        <w:lastRenderedPageBreak/>
        <w:t>Caso A</w:t>
      </w:r>
      <w:r w:rsidR="000241C8" w:rsidRPr="00BC099D">
        <w:rPr>
          <w:rFonts w:ascii="Times" w:hAnsi="Times" w:cs="Times New Roman"/>
          <w:b/>
          <w:sz w:val="24"/>
          <w:szCs w:val="24"/>
        </w:rPr>
        <w:t xml:space="preserve"> </w:t>
      </w:r>
      <w:r w:rsidR="00160E30" w:rsidRPr="00BC099D">
        <w:rPr>
          <w:rFonts w:ascii="Times" w:hAnsi="Times" w:cs="Times New Roman"/>
          <w:color w:val="FF0000"/>
          <w:sz w:val="24"/>
          <w:szCs w:val="24"/>
        </w:rPr>
        <w:t>(ver imagens no PowerPoint</w:t>
      </w:r>
      <w:r w:rsidR="00BC099D" w:rsidRPr="00BC099D">
        <w:rPr>
          <w:rFonts w:ascii="Times" w:hAnsi="Times" w:cs="Times New Roman"/>
          <w:color w:val="FF0000"/>
          <w:sz w:val="24"/>
          <w:szCs w:val="24"/>
        </w:rPr>
        <w:t xml:space="preserve"> – fotos de 01/04/2008</w:t>
      </w:r>
      <w:r w:rsidR="000241C8" w:rsidRPr="00BC099D">
        <w:rPr>
          <w:rFonts w:ascii="Times" w:hAnsi="Times" w:cs="Times New Roman"/>
          <w:color w:val="FF0000"/>
          <w:sz w:val="24"/>
          <w:szCs w:val="24"/>
        </w:rPr>
        <w:t>)</w:t>
      </w:r>
    </w:p>
    <w:p w14:paraId="2A2A66DC" w14:textId="4D708DE8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1º atendimento em 31/03/2008.</w:t>
      </w:r>
    </w:p>
    <w:p w14:paraId="37B8D3B3" w14:textId="2D85FBBC" w:rsidR="00160E30" w:rsidRPr="00BC099D" w:rsidRDefault="00C80DE7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ID: Gênero</w:t>
      </w:r>
      <w:r w:rsidR="00BC099D" w:rsidRPr="00BC099D">
        <w:rPr>
          <w:rFonts w:ascii="Times" w:hAnsi="Times"/>
          <w:sz w:val="24"/>
          <w:szCs w:val="24"/>
        </w:rPr>
        <w:t xml:space="preserve"> </w:t>
      </w:r>
      <w:r w:rsidR="00160E30" w:rsidRPr="00BC099D">
        <w:rPr>
          <w:rFonts w:ascii="Times" w:hAnsi="Times"/>
          <w:sz w:val="24"/>
          <w:szCs w:val="24"/>
        </w:rPr>
        <w:t>masculino, 85 anos, pardo, aposentado, natural de Jardinópolis (SP) e procedente de Ribeirão Preto (SP).</w:t>
      </w:r>
    </w:p>
    <w:p w14:paraId="489E4255" w14:textId="77777777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Paciente está internado há 59 anos no Hospital Santa Tereza, hospital psiquiátrico, em Ribeirão Preto, SP.</w:t>
      </w:r>
    </w:p>
    <w:p w14:paraId="7A639B94" w14:textId="77777777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Surgimento de lesões pruriginosas, acompanhadas por bolhas nos joelhos há 4 meses, com posterior disseminação para todo o tegumento, com acometimento do segmento cefálico, tronco e membros, em especial, axilas e virilhas. Mucosas não acometidas.</w:t>
      </w:r>
    </w:p>
    <w:p w14:paraId="5A5481C3" w14:textId="77777777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Comorbidades: Déficit auditivo, Hipertensão arterial sistêmica, diabetes mellitus tipo 2, doença coronariana, osteoporose, gastrite e hiperplasia prostática benigna.</w:t>
      </w:r>
    </w:p>
    <w:p w14:paraId="7702FF90" w14:textId="77777777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 xml:space="preserve">Em uso de </w:t>
      </w:r>
      <w:proofErr w:type="spellStart"/>
      <w:r w:rsidRPr="00BC099D">
        <w:rPr>
          <w:rFonts w:ascii="Times" w:hAnsi="Times"/>
          <w:sz w:val="24"/>
          <w:szCs w:val="24"/>
        </w:rPr>
        <w:t>risperidona</w:t>
      </w:r>
      <w:proofErr w:type="spellEnd"/>
      <w:r w:rsidRPr="00BC099D">
        <w:rPr>
          <w:rFonts w:ascii="Times" w:hAnsi="Times"/>
          <w:sz w:val="24"/>
          <w:szCs w:val="24"/>
        </w:rPr>
        <w:t xml:space="preserve">, </w:t>
      </w:r>
      <w:proofErr w:type="spellStart"/>
      <w:r w:rsidRPr="00BC099D">
        <w:rPr>
          <w:rFonts w:ascii="Times" w:hAnsi="Times"/>
          <w:sz w:val="24"/>
          <w:szCs w:val="24"/>
        </w:rPr>
        <w:t>Sustrate</w:t>
      </w:r>
      <w:proofErr w:type="spellEnd"/>
      <w:r w:rsidRPr="00BC099D">
        <w:rPr>
          <w:rFonts w:ascii="Times" w:hAnsi="Times"/>
          <w:sz w:val="24"/>
          <w:szCs w:val="24"/>
        </w:rPr>
        <w:t xml:space="preserve"> (</w:t>
      </w:r>
      <w:proofErr w:type="spellStart"/>
      <w:r w:rsidRPr="00BC099D">
        <w:rPr>
          <w:rFonts w:ascii="Times" w:hAnsi="Times"/>
          <w:sz w:val="24"/>
          <w:szCs w:val="24"/>
        </w:rPr>
        <w:t>propatilnitrato</w:t>
      </w:r>
      <w:proofErr w:type="spellEnd"/>
      <w:r w:rsidRPr="00BC099D">
        <w:rPr>
          <w:rFonts w:ascii="Times" w:hAnsi="Times"/>
          <w:sz w:val="24"/>
          <w:szCs w:val="24"/>
        </w:rPr>
        <w:t xml:space="preserve">), </w:t>
      </w:r>
      <w:proofErr w:type="spellStart"/>
      <w:r w:rsidRPr="00BC099D">
        <w:rPr>
          <w:rFonts w:ascii="Times" w:hAnsi="Times"/>
          <w:sz w:val="24"/>
          <w:szCs w:val="24"/>
        </w:rPr>
        <w:t>nifedipina</w:t>
      </w:r>
      <w:proofErr w:type="spellEnd"/>
      <w:r w:rsidRPr="00BC099D">
        <w:rPr>
          <w:rFonts w:ascii="Times" w:hAnsi="Times"/>
          <w:sz w:val="24"/>
          <w:szCs w:val="24"/>
        </w:rPr>
        <w:t xml:space="preserve">, furosemida, </w:t>
      </w:r>
      <w:proofErr w:type="spellStart"/>
      <w:r w:rsidRPr="00BC099D">
        <w:rPr>
          <w:rFonts w:ascii="Times" w:hAnsi="Times"/>
          <w:sz w:val="24"/>
          <w:szCs w:val="24"/>
        </w:rPr>
        <w:t>glibenclamida</w:t>
      </w:r>
      <w:proofErr w:type="spellEnd"/>
      <w:r w:rsidRPr="00BC099D">
        <w:rPr>
          <w:rFonts w:ascii="Times" w:hAnsi="Times"/>
          <w:sz w:val="24"/>
          <w:szCs w:val="24"/>
        </w:rPr>
        <w:t xml:space="preserve">, cloreto de potássio, </w:t>
      </w:r>
      <w:proofErr w:type="spellStart"/>
      <w:r w:rsidRPr="00BC099D">
        <w:rPr>
          <w:rFonts w:ascii="Times" w:hAnsi="Times"/>
          <w:sz w:val="24"/>
          <w:szCs w:val="24"/>
        </w:rPr>
        <w:t>omeprazol</w:t>
      </w:r>
      <w:proofErr w:type="spellEnd"/>
      <w:r w:rsidRPr="00BC099D">
        <w:rPr>
          <w:rFonts w:ascii="Times" w:hAnsi="Times"/>
          <w:sz w:val="24"/>
          <w:szCs w:val="24"/>
        </w:rPr>
        <w:t xml:space="preserve">, complexo B e dipirona ocasional. Ainda, uso recente de </w:t>
      </w:r>
      <w:proofErr w:type="spellStart"/>
      <w:r w:rsidRPr="00BC099D">
        <w:rPr>
          <w:rFonts w:ascii="Times" w:hAnsi="Times"/>
          <w:sz w:val="24"/>
          <w:szCs w:val="24"/>
        </w:rPr>
        <w:t>Ebastel</w:t>
      </w:r>
      <w:proofErr w:type="spellEnd"/>
      <w:r w:rsidRPr="00BC099D">
        <w:rPr>
          <w:rFonts w:ascii="Times" w:hAnsi="Times"/>
          <w:sz w:val="24"/>
          <w:szCs w:val="24"/>
        </w:rPr>
        <w:t xml:space="preserve"> (</w:t>
      </w:r>
      <w:proofErr w:type="spellStart"/>
      <w:r w:rsidRPr="00BC099D">
        <w:rPr>
          <w:rFonts w:ascii="Times" w:hAnsi="Times"/>
          <w:sz w:val="24"/>
          <w:szCs w:val="24"/>
        </w:rPr>
        <w:t>ebastina</w:t>
      </w:r>
      <w:proofErr w:type="spellEnd"/>
      <w:r w:rsidRPr="00BC099D">
        <w:rPr>
          <w:rFonts w:ascii="Times" w:hAnsi="Times"/>
          <w:sz w:val="24"/>
          <w:szCs w:val="24"/>
        </w:rPr>
        <w:t xml:space="preserve">), penicilina </w:t>
      </w:r>
      <w:proofErr w:type="spellStart"/>
      <w:r w:rsidRPr="00BC099D">
        <w:rPr>
          <w:rFonts w:ascii="Times" w:hAnsi="Times"/>
          <w:sz w:val="24"/>
          <w:szCs w:val="24"/>
        </w:rPr>
        <w:t>benzatina</w:t>
      </w:r>
      <w:proofErr w:type="spellEnd"/>
      <w:r w:rsidRPr="00BC099D">
        <w:rPr>
          <w:rFonts w:ascii="Times" w:hAnsi="Times"/>
          <w:sz w:val="24"/>
          <w:szCs w:val="24"/>
        </w:rPr>
        <w:t xml:space="preserve"> de 15/15 dias, </w:t>
      </w:r>
      <w:proofErr w:type="spellStart"/>
      <w:r w:rsidRPr="00BC099D">
        <w:rPr>
          <w:rFonts w:ascii="Times" w:hAnsi="Times"/>
          <w:sz w:val="24"/>
          <w:szCs w:val="24"/>
        </w:rPr>
        <w:t>Tylenol</w:t>
      </w:r>
      <w:proofErr w:type="spellEnd"/>
      <w:r w:rsidRPr="00BC099D">
        <w:rPr>
          <w:rFonts w:ascii="Times" w:hAnsi="Times"/>
          <w:sz w:val="24"/>
          <w:szCs w:val="24"/>
        </w:rPr>
        <w:t xml:space="preserve"> (paracetamol) e óleo mineral tópico.</w:t>
      </w:r>
    </w:p>
    <w:p w14:paraId="3E425599" w14:textId="77777777" w:rsidR="00C80DE7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B</w:t>
      </w:r>
      <w:r w:rsidR="00BC099D" w:rsidRPr="00BC099D">
        <w:rPr>
          <w:rFonts w:ascii="Times" w:hAnsi="Times"/>
          <w:sz w:val="24"/>
          <w:szCs w:val="24"/>
        </w:rPr>
        <w:t>ió</w:t>
      </w:r>
      <w:r w:rsidRPr="00BC099D">
        <w:rPr>
          <w:rFonts w:ascii="Times" w:hAnsi="Times"/>
          <w:sz w:val="24"/>
          <w:szCs w:val="24"/>
        </w:rPr>
        <w:t xml:space="preserve">psia da pele (4026/2008) com coloração hematoxilina e eosina mostrou epiderme completamente destacada da derme subjacente (destacamento </w:t>
      </w:r>
      <w:proofErr w:type="spellStart"/>
      <w:r w:rsidRPr="00BC099D">
        <w:rPr>
          <w:rFonts w:ascii="Times" w:hAnsi="Times"/>
          <w:sz w:val="24"/>
          <w:szCs w:val="24"/>
        </w:rPr>
        <w:t>subepitelial</w:t>
      </w:r>
      <w:proofErr w:type="spellEnd"/>
      <w:r w:rsidRPr="00BC099D">
        <w:rPr>
          <w:rFonts w:ascii="Times" w:hAnsi="Times"/>
          <w:sz w:val="24"/>
          <w:szCs w:val="24"/>
        </w:rPr>
        <w:t>). A derme superficial com leve infiltrado inflamatório mononuclear, de distribuição perivascular e intersticial, com oca</w:t>
      </w:r>
      <w:r w:rsidR="00C80DE7">
        <w:rPr>
          <w:rFonts w:ascii="Times" w:hAnsi="Times"/>
          <w:sz w:val="24"/>
          <w:szCs w:val="24"/>
        </w:rPr>
        <w:t xml:space="preserve">sionais eosinófilos de permeio. </w:t>
      </w:r>
    </w:p>
    <w:p w14:paraId="641E04B9" w14:textId="57E46C05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proofErr w:type="spellStart"/>
      <w:r w:rsidRPr="00BC099D">
        <w:rPr>
          <w:rFonts w:ascii="Times" w:hAnsi="Times"/>
          <w:sz w:val="24"/>
          <w:szCs w:val="24"/>
        </w:rPr>
        <w:t>Imunofluorescência</w:t>
      </w:r>
      <w:proofErr w:type="spellEnd"/>
      <w:r w:rsidRPr="00BC099D">
        <w:rPr>
          <w:rFonts w:ascii="Times" w:hAnsi="Times"/>
          <w:sz w:val="24"/>
          <w:szCs w:val="24"/>
        </w:rPr>
        <w:t xml:space="preserve"> direta (IFD) mostrou fluorescência linear </w:t>
      </w:r>
      <w:r w:rsidRPr="00C80DE7">
        <w:rPr>
          <w:rFonts w:ascii="Times" w:hAnsi="Times"/>
          <w:color w:val="002060"/>
          <w:sz w:val="24"/>
          <w:szCs w:val="24"/>
        </w:rPr>
        <w:t xml:space="preserve">com </w:t>
      </w:r>
      <w:r w:rsidR="00C80DE7" w:rsidRPr="00C80DE7">
        <w:rPr>
          <w:rFonts w:ascii="Times" w:hAnsi="Times"/>
          <w:color w:val="002060"/>
          <w:sz w:val="24"/>
          <w:szCs w:val="24"/>
        </w:rPr>
        <w:t xml:space="preserve">anticorpo humano </w:t>
      </w:r>
      <w:proofErr w:type="spellStart"/>
      <w:r w:rsidRPr="00BC099D">
        <w:rPr>
          <w:rFonts w:ascii="Times" w:hAnsi="Times"/>
          <w:sz w:val="24"/>
          <w:szCs w:val="24"/>
        </w:rPr>
        <w:t>anti-fibrinogênio</w:t>
      </w:r>
      <w:proofErr w:type="spellEnd"/>
      <w:r w:rsidRPr="00BC099D">
        <w:rPr>
          <w:rFonts w:ascii="Times" w:hAnsi="Times"/>
          <w:sz w:val="24"/>
          <w:szCs w:val="24"/>
        </w:rPr>
        <w:t xml:space="preserve"> na zona da membrana basal (</w:t>
      </w:r>
      <w:proofErr w:type="spellStart"/>
      <w:r w:rsidRPr="00BC099D">
        <w:rPr>
          <w:rFonts w:ascii="Times" w:hAnsi="Times"/>
          <w:sz w:val="24"/>
          <w:szCs w:val="24"/>
        </w:rPr>
        <w:t>anti-IgG</w:t>
      </w:r>
      <w:proofErr w:type="spellEnd"/>
      <w:r w:rsidRPr="00BC099D">
        <w:rPr>
          <w:rFonts w:ascii="Times" w:hAnsi="Times"/>
          <w:sz w:val="24"/>
          <w:szCs w:val="24"/>
        </w:rPr>
        <w:t xml:space="preserve"> e anti-C3 negativos).</w:t>
      </w:r>
    </w:p>
    <w:p w14:paraId="6EA82BE9" w14:textId="7C6FB1A2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Exames subsidiários: hemograma inicial: hemoglobina 9,7g/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glóbulos brancos (GB) 11.000/</w:t>
      </w:r>
      <w:r w:rsidR="00C80DE7">
        <w:rPr>
          <w:rFonts w:ascii="Times New Roman" w:hAnsi="Times New Roman" w:cs="Times New Roman"/>
          <w:sz w:val="24"/>
          <w:szCs w:val="24"/>
        </w:rPr>
        <w:t>µ</w:t>
      </w:r>
      <w:r w:rsidRPr="00BC099D">
        <w:rPr>
          <w:rFonts w:ascii="Times" w:hAnsi="Times" w:cstheme="minorHAnsi"/>
          <w:sz w:val="24"/>
          <w:szCs w:val="24"/>
        </w:rPr>
        <w:t>L</w:t>
      </w:r>
      <w:r w:rsidRPr="00BC099D">
        <w:rPr>
          <w:rFonts w:ascii="Times" w:hAnsi="Times"/>
          <w:sz w:val="24"/>
          <w:szCs w:val="24"/>
        </w:rPr>
        <w:t xml:space="preserve"> (linfócitos 1.800, neutrófilos 5.800, eosinófilos 2.100, monócitos 1.300); plaquetas 255.000/</w:t>
      </w:r>
      <w:r w:rsidR="00C80DE7">
        <w:rPr>
          <w:rFonts w:ascii="Times New Roman" w:hAnsi="Times New Roman" w:cs="Times New Roman"/>
          <w:sz w:val="24"/>
          <w:szCs w:val="24"/>
        </w:rPr>
        <w:t>µ</w:t>
      </w:r>
      <w:r w:rsidRPr="00BC099D">
        <w:rPr>
          <w:rFonts w:ascii="Times" w:hAnsi="Times" w:cstheme="minorHAnsi"/>
          <w:sz w:val="24"/>
          <w:szCs w:val="24"/>
        </w:rPr>
        <w:t>L</w:t>
      </w:r>
      <w:r w:rsidRPr="00BC099D">
        <w:rPr>
          <w:rFonts w:ascii="Times" w:hAnsi="Times"/>
          <w:sz w:val="24"/>
          <w:szCs w:val="24"/>
        </w:rPr>
        <w:t>; urina rotina inicial: sem nenhuma alteração.</w:t>
      </w:r>
    </w:p>
    <w:p w14:paraId="44A96967" w14:textId="6F092721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trike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VHS 56mm/1ª hora; Creatinina 1,0mg/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Ureia 24mg/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 xml:space="preserve">; TGO 44U/L; TGP 21U/L; </w:t>
      </w:r>
      <w:proofErr w:type="spellStart"/>
      <w:r w:rsidRPr="00BC099D">
        <w:rPr>
          <w:rFonts w:ascii="Times" w:hAnsi="Times"/>
          <w:sz w:val="24"/>
          <w:szCs w:val="24"/>
        </w:rPr>
        <w:t>Fosfatase</w:t>
      </w:r>
      <w:proofErr w:type="spellEnd"/>
      <w:r w:rsidRPr="00BC099D">
        <w:rPr>
          <w:rFonts w:ascii="Times" w:hAnsi="Times"/>
          <w:sz w:val="24"/>
          <w:szCs w:val="24"/>
        </w:rPr>
        <w:t xml:space="preserve"> alcalina 196U/L</w:t>
      </w:r>
      <w:r w:rsidR="00BC099D" w:rsidRPr="00BC099D">
        <w:rPr>
          <w:rFonts w:ascii="Times" w:hAnsi="Times"/>
          <w:sz w:val="24"/>
          <w:szCs w:val="24"/>
        </w:rPr>
        <w:t xml:space="preserve"> (normal)</w:t>
      </w:r>
      <w:r w:rsidRPr="00BC099D">
        <w:rPr>
          <w:rFonts w:ascii="Times" w:hAnsi="Times"/>
          <w:sz w:val="24"/>
          <w:szCs w:val="24"/>
        </w:rPr>
        <w:t xml:space="preserve">; </w:t>
      </w:r>
      <w:r w:rsidRPr="00BC099D">
        <w:rPr>
          <w:rFonts w:ascii="Times" w:hAnsi="Times" w:cs="Times New Roman"/>
          <w:sz w:val="24"/>
          <w:szCs w:val="24"/>
        </w:rPr>
        <w:t>γ</w:t>
      </w:r>
      <w:r w:rsidRPr="00BC099D">
        <w:rPr>
          <w:rFonts w:ascii="Times" w:hAnsi="Times"/>
          <w:sz w:val="24"/>
          <w:szCs w:val="24"/>
        </w:rPr>
        <w:t>GT35 U/L; Albumina 3,3g/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Glicemia 94mg/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 xml:space="preserve">; PSA 0,4 </w:t>
      </w:r>
      <w:proofErr w:type="spellStart"/>
      <w:r w:rsidRPr="00BC099D">
        <w:rPr>
          <w:rFonts w:ascii="Times" w:hAnsi="Times"/>
          <w:sz w:val="24"/>
          <w:szCs w:val="24"/>
        </w:rPr>
        <w:t>ng</w:t>
      </w:r>
      <w:proofErr w:type="spellEnd"/>
      <w:r w:rsidRPr="00BC099D">
        <w:rPr>
          <w:rFonts w:ascii="Times" w:hAnsi="Times"/>
          <w:sz w:val="24"/>
          <w:szCs w:val="24"/>
        </w:rPr>
        <w:t>/</w:t>
      </w:r>
      <w:proofErr w:type="spellStart"/>
      <w:r w:rsidRPr="00BC099D">
        <w:rPr>
          <w:rFonts w:ascii="Times" w:hAnsi="Times"/>
          <w:sz w:val="24"/>
          <w:szCs w:val="24"/>
        </w:rPr>
        <w:t>mL</w:t>
      </w:r>
      <w:proofErr w:type="spellEnd"/>
      <w:r w:rsidRPr="00BC099D">
        <w:rPr>
          <w:rFonts w:ascii="Times" w:hAnsi="Times"/>
          <w:sz w:val="24"/>
          <w:szCs w:val="24"/>
        </w:rPr>
        <w:t>; Bilirrubinas totais 0,34mg/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Bilirrubina direta 0,09mg/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 xml:space="preserve">; </w:t>
      </w:r>
      <w:proofErr w:type="spellStart"/>
      <w:r w:rsidRPr="00BC099D">
        <w:rPr>
          <w:rFonts w:ascii="Times" w:hAnsi="Times"/>
          <w:sz w:val="24"/>
          <w:szCs w:val="24"/>
        </w:rPr>
        <w:t>Anti-TPO</w:t>
      </w:r>
      <w:proofErr w:type="spellEnd"/>
      <w:r w:rsidRPr="00BC099D">
        <w:rPr>
          <w:rFonts w:ascii="Times" w:hAnsi="Times"/>
          <w:sz w:val="24"/>
          <w:szCs w:val="24"/>
        </w:rPr>
        <w:t xml:space="preserve"> negativo; CEA (antígeno carcinogênico embrionário) 1,8 (normal); G6PD normal; INR 1,1. </w:t>
      </w:r>
    </w:p>
    <w:p w14:paraId="7A8AA255" w14:textId="393F9786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Evolução: foi internado por 15 dias com melhora do quadro dermatológico, solicitada avaliação da Geriatria e iniciada prednisona 1mg/kg/dia. Em retorno em 19/05/2008, apresentava controle da dermatose, quando foi reduzida a prednisona para 0,5mg/kg/dia e iniciada dapsona 50mg/dia. O hemograma do 1º retorno ambulatorial mostrou hemoglobina de 12,6 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 xml:space="preserve"> e GB de 15.000/</w:t>
      </w:r>
      <w:r w:rsidR="00C80DE7">
        <w:rPr>
          <w:rFonts w:ascii="Times New Roman" w:hAnsi="Times New Roman" w:cs="Times New Roman"/>
          <w:sz w:val="24"/>
          <w:szCs w:val="24"/>
        </w:rPr>
        <w:t>µ</w:t>
      </w:r>
      <w:r w:rsidRPr="00BC099D">
        <w:rPr>
          <w:rFonts w:ascii="Times" w:hAnsi="Times" w:cstheme="minorHAnsi"/>
          <w:sz w:val="24"/>
          <w:szCs w:val="24"/>
        </w:rPr>
        <w:t>L</w:t>
      </w:r>
      <w:r w:rsidRPr="00BC099D">
        <w:rPr>
          <w:rFonts w:ascii="Times" w:hAnsi="Times"/>
          <w:sz w:val="24"/>
          <w:szCs w:val="24"/>
        </w:rPr>
        <w:t xml:space="preserve">, com plaquetas normais. Retorno em 30/06, com resolução completa das lesões, sendo reduzida a prednisona para 0,25mg/kg/dia e mantida a dapsona. Em agosto, na Unidade de Emergência, o hemograma apresentava aumento expressivo de GB com </w:t>
      </w:r>
      <w:r w:rsidR="00C80DE7" w:rsidRPr="00C80DE7">
        <w:rPr>
          <w:rFonts w:ascii="Times" w:hAnsi="Times"/>
          <w:color w:val="002060"/>
          <w:sz w:val="24"/>
          <w:szCs w:val="24"/>
        </w:rPr>
        <w:t>acentuado</w:t>
      </w:r>
      <w:r w:rsidRPr="00C80DE7">
        <w:rPr>
          <w:rFonts w:ascii="Times" w:hAnsi="Times"/>
          <w:color w:val="002060"/>
          <w:sz w:val="24"/>
          <w:szCs w:val="24"/>
        </w:rPr>
        <w:t xml:space="preserve"> </w:t>
      </w:r>
      <w:r w:rsidRPr="00BC099D">
        <w:rPr>
          <w:rFonts w:ascii="Times" w:hAnsi="Times"/>
          <w:sz w:val="24"/>
          <w:szCs w:val="24"/>
        </w:rPr>
        <w:t>desvio à esquerda, quando foi constatada sepse decorrente de foco urinário, evoluindo para óbito.</w:t>
      </w:r>
    </w:p>
    <w:p w14:paraId="3382A0D3" w14:textId="77777777" w:rsidR="00160E30" w:rsidRPr="00BC099D" w:rsidRDefault="00160E30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</w:p>
    <w:p w14:paraId="48E9A438" w14:textId="4D2F036A" w:rsidR="000241C8" w:rsidRPr="00BC099D" w:rsidRDefault="00160E30" w:rsidP="00BC099D">
      <w:pPr>
        <w:spacing w:after="200" w:line="240" w:lineRule="auto"/>
        <w:jc w:val="both"/>
        <w:rPr>
          <w:rFonts w:ascii="Times" w:hAnsi="Times" w:cs="Times New Roman"/>
          <w:color w:val="FF0000"/>
          <w:sz w:val="24"/>
          <w:szCs w:val="24"/>
        </w:rPr>
      </w:pPr>
      <w:r w:rsidRPr="00C80DE7">
        <w:rPr>
          <w:rFonts w:ascii="Times" w:hAnsi="Times"/>
          <w:sz w:val="24"/>
          <w:szCs w:val="24"/>
        </w:rPr>
        <w:br w:type="page"/>
      </w:r>
    </w:p>
    <w:p w14:paraId="464DE4EA" w14:textId="34BDD6C9" w:rsidR="000241C8" w:rsidRPr="00BC099D" w:rsidRDefault="000241C8" w:rsidP="00BC099D">
      <w:pPr>
        <w:spacing w:after="200" w:line="240" w:lineRule="auto"/>
        <w:jc w:val="both"/>
        <w:rPr>
          <w:rFonts w:ascii="Times" w:hAnsi="Times" w:cs="Times New Roman"/>
          <w:b/>
          <w:color w:val="FF0000"/>
          <w:sz w:val="24"/>
          <w:szCs w:val="24"/>
        </w:rPr>
      </w:pPr>
      <w:r w:rsidRPr="00BC099D">
        <w:rPr>
          <w:rFonts w:ascii="Times" w:hAnsi="Times" w:cs="Times New Roman"/>
          <w:b/>
          <w:sz w:val="24"/>
          <w:szCs w:val="24"/>
        </w:rPr>
        <w:lastRenderedPageBreak/>
        <w:t xml:space="preserve">Caso B </w:t>
      </w:r>
      <w:r w:rsidR="00BC099D" w:rsidRPr="00BC099D">
        <w:rPr>
          <w:rFonts w:ascii="Times" w:hAnsi="Times" w:cs="Times New Roman"/>
          <w:color w:val="FF0000"/>
          <w:sz w:val="24"/>
          <w:szCs w:val="24"/>
        </w:rPr>
        <w:t>(ver imagens no PowerPoint – fotos de 16/01/2013</w:t>
      </w:r>
      <w:r w:rsidRPr="00BC099D">
        <w:rPr>
          <w:rFonts w:ascii="Times" w:hAnsi="Times" w:cs="Times New Roman"/>
          <w:color w:val="FF0000"/>
          <w:sz w:val="24"/>
          <w:szCs w:val="24"/>
        </w:rPr>
        <w:t>)</w:t>
      </w:r>
    </w:p>
    <w:p w14:paraId="53E7B2BA" w14:textId="67423677" w:rsidR="00BC099D" w:rsidRPr="00BC099D" w:rsidRDefault="00BC099D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1º atendimento em 16/01/2013.</w:t>
      </w:r>
    </w:p>
    <w:p w14:paraId="13E02252" w14:textId="798E98EC" w:rsidR="002B45B7" w:rsidRPr="00BC099D" w:rsidRDefault="00C80DE7" w:rsidP="00BC099D">
      <w:pPr>
        <w:spacing w:after="20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ID: Gênero</w:t>
      </w:r>
      <w:r w:rsidR="00BC099D" w:rsidRPr="00BC099D">
        <w:rPr>
          <w:rFonts w:ascii="Times" w:hAnsi="Times" w:cs="Times New Roman"/>
          <w:sz w:val="24"/>
          <w:szCs w:val="24"/>
        </w:rPr>
        <w:t xml:space="preserve"> masculino, </w:t>
      </w:r>
      <w:r w:rsidR="002B45B7" w:rsidRPr="00BC099D">
        <w:rPr>
          <w:rFonts w:ascii="Times" w:hAnsi="Times" w:cs="Times New Roman"/>
          <w:sz w:val="24"/>
          <w:szCs w:val="24"/>
        </w:rPr>
        <w:t xml:space="preserve">39 anos, branco, </w:t>
      </w:r>
      <w:r w:rsidR="009715B4" w:rsidRPr="00BC099D">
        <w:rPr>
          <w:rFonts w:ascii="Times" w:hAnsi="Times" w:cs="Times New Roman"/>
          <w:sz w:val="24"/>
          <w:szCs w:val="24"/>
        </w:rPr>
        <w:t xml:space="preserve">eletricista, </w:t>
      </w:r>
      <w:r w:rsidR="002B45B7" w:rsidRPr="00BC099D">
        <w:rPr>
          <w:rFonts w:ascii="Times" w:hAnsi="Times" w:cs="Times New Roman"/>
          <w:sz w:val="24"/>
          <w:szCs w:val="24"/>
        </w:rPr>
        <w:t>encaminhado de Araraquara (SP), em tratamento.</w:t>
      </w:r>
    </w:p>
    <w:p w14:paraId="6CECD882" w14:textId="77777777" w:rsidR="00BC099D" w:rsidRPr="00BC099D" w:rsidRDefault="00BC099D" w:rsidP="00BC099D">
      <w:pPr>
        <w:spacing w:after="200" w:line="240" w:lineRule="auto"/>
        <w:rPr>
          <w:rFonts w:ascii="Times" w:hAnsi="Times"/>
          <w:sz w:val="24"/>
          <w:szCs w:val="24"/>
        </w:rPr>
      </w:pPr>
      <w:r w:rsidRPr="00C80DE7">
        <w:rPr>
          <w:rFonts w:ascii="Times" w:hAnsi="Times"/>
          <w:sz w:val="24"/>
          <w:szCs w:val="24"/>
        </w:rPr>
        <w:t xml:space="preserve">Há 2 meses com lesões orais, </w:t>
      </w:r>
      <w:proofErr w:type="spellStart"/>
      <w:r w:rsidRPr="00C80DE7">
        <w:rPr>
          <w:rFonts w:ascii="Times" w:hAnsi="Times"/>
          <w:sz w:val="24"/>
          <w:szCs w:val="24"/>
        </w:rPr>
        <w:t>odinofagia</w:t>
      </w:r>
      <w:proofErr w:type="spellEnd"/>
      <w:r w:rsidRPr="00C80DE7">
        <w:rPr>
          <w:rFonts w:ascii="Times" w:hAnsi="Times"/>
          <w:sz w:val="24"/>
          <w:szCs w:val="24"/>
        </w:rPr>
        <w:t xml:space="preserve">, gerando dificuldade ao mastigar e deglutir alimentos. Há 1 mês, bolhas que se rompem facilmente, em todo tegumento, evoluindo para </w:t>
      </w:r>
      <w:proofErr w:type="spellStart"/>
      <w:r w:rsidRPr="00C80DE7">
        <w:rPr>
          <w:rFonts w:ascii="Times" w:hAnsi="Times"/>
          <w:sz w:val="24"/>
          <w:szCs w:val="24"/>
        </w:rPr>
        <w:t>exulcerações</w:t>
      </w:r>
      <w:proofErr w:type="spellEnd"/>
      <w:r w:rsidRPr="00C80DE7">
        <w:rPr>
          <w:rFonts w:ascii="Times" w:hAnsi="Times"/>
          <w:sz w:val="24"/>
          <w:szCs w:val="24"/>
        </w:rPr>
        <w:t xml:space="preserve"> doloridas. Perdeu 10kg nos últimos 2 meses, resultando em astenia. É </w:t>
      </w:r>
      <w:r w:rsidRPr="00BC099D">
        <w:rPr>
          <w:rFonts w:ascii="Times" w:hAnsi="Times"/>
          <w:sz w:val="24"/>
          <w:szCs w:val="24"/>
        </w:rPr>
        <w:t>vegetariano. Refere depressão, sem seguimento ou uso de qualquer medicação.</w:t>
      </w:r>
    </w:p>
    <w:p w14:paraId="553AF275" w14:textId="77777777" w:rsidR="00BC099D" w:rsidRPr="00BC099D" w:rsidRDefault="00BC099D" w:rsidP="00BC099D">
      <w:pPr>
        <w:spacing w:after="200" w:line="240" w:lineRule="auto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Trabalha com madeira, verniz e resina; habita próximo ao Córrego do Ouro em Araraquara.</w:t>
      </w:r>
    </w:p>
    <w:p w14:paraId="51744D64" w14:textId="77777777" w:rsidR="00BC099D" w:rsidRPr="00BC099D" w:rsidRDefault="00BC099D" w:rsidP="00BC099D">
      <w:pPr>
        <w:spacing w:after="200" w:line="240" w:lineRule="auto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 xml:space="preserve">Ao exame, além das lesões de pele e mucosas, apresentava </w:t>
      </w:r>
      <w:proofErr w:type="spellStart"/>
      <w:r w:rsidRPr="00BC099D">
        <w:rPr>
          <w:rFonts w:ascii="Times" w:hAnsi="Times"/>
          <w:sz w:val="24"/>
          <w:szCs w:val="24"/>
        </w:rPr>
        <w:t>adenomegalia</w:t>
      </w:r>
      <w:proofErr w:type="spellEnd"/>
      <w:r w:rsidRPr="00BC099D">
        <w:rPr>
          <w:rFonts w:ascii="Times" w:hAnsi="Times"/>
          <w:sz w:val="24"/>
          <w:szCs w:val="24"/>
        </w:rPr>
        <w:t xml:space="preserve"> de 0,2 a 0,6 cm cervical bilateral, móveis e indolores; </w:t>
      </w:r>
      <w:proofErr w:type="spellStart"/>
      <w:r w:rsidRPr="00BC099D">
        <w:rPr>
          <w:rFonts w:ascii="Times" w:hAnsi="Times"/>
          <w:sz w:val="24"/>
          <w:szCs w:val="24"/>
        </w:rPr>
        <w:t>baqueteamento</w:t>
      </w:r>
      <w:proofErr w:type="spellEnd"/>
      <w:r w:rsidRPr="00BC099D">
        <w:rPr>
          <w:rFonts w:ascii="Times" w:hAnsi="Times"/>
          <w:sz w:val="24"/>
          <w:szCs w:val="24"/>
        </w:rPr>
        <w:t xml:space="preserve"> digital de todas as unhas de mãos e pés.</w:t>
      </w:r>
    </w:p>
    <w:p w14:paraId="086A6817" w14:textId="4D790B58" w:rsidR="00BC099D" w:rsidRPr="00BC099D" w:rsidRDefault="00BC099D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 xml:space="preserve">Biopsia da pele (B429/13) com coloração hematoxilina e eosina mostrou epiderme com </w:t>
      </w:r>
      <w:proofErr w:type="spellStart"/>
      <w:r w:rsidRPr="00BC099D">
        <w:rPr>
          <w:rFonts w:ascii="Times" w:hAnsi="Times"/>
          <w:sz w:val="24"/>
          <w:szCs w:val="24"/>
        </w:rPr>
        <w:t>espongiose</w:t>
      </w:r>
      <w:proofErr w:type="spellEnd"/>
      <w:r w:rsidRPr="00BC099D">
        <w:rPr>
          <w:rFonts w:ascii="Times" w:hAnsi="Times"/>
          <w:sz w:val="24"/>
          <w:szCs w:val="24"/>
        </w:rPr>
        <w:t xml:space="preserve"> proeminente, com </w:t>
      </w:r>
      <w:proofErr w:type="spellStart"/>
      <w:r w:rsidRPr="00BC099D">
        <w:rPr>
          <w:rFonts w:ascii="Times" w:hAnsi="Times"/>
          <w:sz w:val="24"/>
          <w:szCs w:val="24"/>
        </w:rPr>
        <w:t>exocitose</w:t>
      </w:r>
      <w:proofErr w:type="spellEnd"/>
      <w:r w:rsidRPr="00BC099D">
        <w:rPr>
          <w:rFonts w:ascii="Times" w:hAnsi="Times"/>
          <w:sz w:val="24"/>
          <w:szCs w:val="24"/>
        </w:rPr>
        <w:t xml:space="preserve"> de eosinófilos, formação de pústula </w:t>
      </w:r>
      <w:proofErr w:type="spellStart"/>
      <w:r w:rsidRPr="00BC099D">
        <w:rPr>
          <w:rFonts w:ascii="Times" w:hAnsi="Times"/>
          <w:sz w:val="24"/>
          <w:szCs w:val="24"/>
        </w:rPr>
        <w:t>eosinofílica</w:t>
      </w:r>
      <w:proofErr w:type="spellEnd"/>
      <w:r w:rsidRPr="00BC099D">
        <w:rPr>
          <w:rFonts w:ascii="Times" w:hAnsi="Times"/>
          <w:sz w:val="24"/>
          <w:szCs w:val="24"/>
        </w:rPr>
        <w:t xml:space="preserve"> e acantólise com formação de fendas </w:t>
      </w:r>
      <w:proofErr w:type="spellStart"/>
      <w:r w:rsidRPr="00BC099D">
        <w:rPr>
          <w:rFonts w:ascii="Times" w:hAnsi="Times"/>
          <w:sz w:val="24"/>
          <w:szCs w:val="24"/>
        </w:rPr>
        <w:t>suprabasais</w:t>
      </w:r>
      <w:proofErr w:type="spellEnd"/>
      <w:r w:rsidRPr="00BC099D">
        <w:rPr>
          <w:rFonts w:ascii="Times" w:hAnsi="Times"/>
          <w:sz w:val="24"/>
          <w:szCs w:val="24"/>
        </w:rPr>
        <w:t xml:space="preserve">. Há focos de degeneração vacuolar da junção </w:t>
      </w:r>
      <w:proofErr w:type="spellStart"/>
      <w:r w:rsidRPr="00BC099D">
        <w:rPr>
          <w:rFonts w:ascii="Times" w:hAnsi="Times"/>
          <w:sz w:val="24"/>
          <w:szCs w:val="24"/>
        </w:rPr>
        <w:t>dermoepidérmica</w:t>
      </w:r>
      <w:proofErr w:type="spellEnd"/>
      <w:r w:rsidRPr="00BC099D">
        <w:rPr>
          <w:rFonts w:ascii="Times" w:hAnsi="Times"/>
          <w:sz w:val="24"/>
          <w:szCs w:val="24"/>
        </w:rPr>
        <w:t>.</w:t>
      </w:r>
    </w:p>
    <w:p w14:paraId="7527FC37" w14:textId="77777777" w:rsidR="00BC099D" w:rsidRPr="00BC099D" w:rsidRDefault="00BC099D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Exames subsidiários: VHS 9mm/1ª hora; INR 1,1; hemoglobina 11,2g/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Glóbulos brancos 6.600/</w:t>
      </w:r>
      <w:r w:rsidRPr="00BC099D">
        <w:rPr>
          <w:rFonts w:ascii="STIXGeneral-Regular" w:hAnsi="STIXGeneral-Regular" w:cs="STIXGeneral-Regular"/>
          <w:sz w:val="24"/>
          <w:szCs w:val="24"/>
        </w:rPr>
        <w:t>𝜇</w:t>
      </w:r>
      <w:r w:rsidRPr="00BC099D">
        <w:rPr>
          <w:rFonts w:ascii="Times" w:hAnsi="Times" w:cstheme="minorHAnsi"/>
          <w:sz w:val="24"/>
          <w:szCs w:val="24"/>
        </w:rPr>
        <w:t>L</w:t>
      </w:r>
      <w:r w:rsidRPr="00BC099D">
        <w:rPr>
          <w:rFonts w:ascii="Times" w:hAnsi="Times"/>
          <w:sz w:val="24"/>
          <w:szCs w:val="24"/>
        </w:rPr>
        <w:t xml:space="preserve"> (Neutrófilos 2.900; linfócitos 1.700; eosinófilos 1.600); Plaquetas 334.000/</w:t>
      </w:r>
      <w:r w:rsidRPr="00BC099D">
        <w:rPr>
          <w:rFonts w:ascii="STIXGeneral-Regular" w:hAnsi="STIXGeneral-Regular" w:cs="STIXGeneral-Regular"/>
          <w:sz w:val="24"/>
          <w:szCs w:val="24"/>
        </w:rPr>
        <w:t>𝜇</w:t>
      </w:r>
      <w:r w:rsidRPr="00BC099D">
        <w:rPr>
          <w:rFonts w:ascii="Times" w:hAnsi="Times" w:cstheme="minorHAnsi"/>
          <w:sz w:val="24"/>
          <w:szCs w:val="24"/>
        </w:rPr>
        <w:t>L</w:t>
      </w:r>
      <w:r w:rsidRPr="00BC099D">
        <w:rPr>
          <w:rFonts w:ascii="Times" w:hAnsi="Times"/>
          <w:sz w:val="24"/>
          <w:szCs w:val="24"/>
        </w:rPr>
        <w:t>; Creatinina 0,81mg/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Ureia 14mg/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 xml:space="preserve">; TGO 27U/L; TGP 23U/L; FA 54U/L; </w:t>
      </w:r>
      <w:proofErr w:type="spellStart"/>
      <w:r w:rsidRPr="00BC099D">
        <w:rPr>
          <w:rFonts w:ascii="Times" w:hAnsi="Times" w:cs="Times New Roman"/>
          <w:sz w:val="24"/>
          <w:szCs w:val="24"/>
        </w:rPr>
        <w:t>γ</w:t>
      </w:r>
      <w:r w:rsidRPr="00BC099D">
        <w:rPr>
          <w:rFonts w:ascii="Times" w:hAnsi="Times"/>
          <w:sz w:val="24"/>
          <w:szCs w:val="24"/>
        </w:rPr>
        <w:t>GT</w:t>
      </w:r>
      <w:proofErr w:type="spellEnd"/>
      <w:r w:rsidRPr="00BC099D">
        <w:rPr>
          <w:rFonts w:ascii="Times" w:hAnsi="Times"/>
          <w:sz w:val="24"/>
          <w:szCs w:val="24"/>
        </w:rPr>
        <w:t xml:space="preserve"> 8U/L; Bilirrubinas totais 0,07mg/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; Bilirrubina direta 0,06mg/</w:t>
      </w:r>
      <w:proofErr w:type="spellStart"/>
      <w:r w:rsidRPr="00BC099D">
        <w:rPr>
          <w:rFonts w:ascii="Times" w:hAnsi="Times"/>
          <w:sz w:val="24"/>
          <w:szCs w:val="24"/>
        </w:rPr>
        <w:t>dL</w:t>
      </w:r>
      <w:proofErr w:type="spellEnd"/>
      <w:r w:rsidRPr="00BC099D">
        <w:rPr>
          <w:rFonts w:ascii="Times" w:hAnsi="Times"/>
          <w:sz w:val="24"/>
          <w:szCs w:val="24"/>
        </w:rPr>
        <w:t>.</w:t>
      </w:r>
    </w:p>
    <w:p w14:paraId="1A03BD39" w14:textId="77777777" w:rsidR="00BC099D" w:rsidRPr="00BC099D" w:rsidRDefault="00BC099D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>Endoscopia digestiva alta mostrou lesões na orofaringe e duodenite erosiva.</w:t>
      </w:r>
    </w:p>
    <w:p w14:paraId="4D942F6F" w14:textId="77777777" w:rsidR="00BC099D" w:rsidRPr="00BC099D" w:rsidRDefault="00BC099D" w:rsidP="00BC099D">
      <w:pPr>
        <w:spacing w:after="200" w:line="240" w:lineRule="auto"/>
        <w:jc w:val="both"/>
        <w:rPr>
          <w:rFonts w:ascii="Times" w:hAnsi="Times"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 xml:space="preserve">Soro coletado na vigência da pulsoterapia: Anti-Dsg1 11,306; Anti-Dsg3 164,216 (ELISA, MBL, Japão – </w:t>
      </w:r>
      <w:proofErr w:type="spellStart"/>
      <w:r w:rsidRPr="00BC099D">
        <w:rPr>
          <w:rFonts w:ascii="Times" w:hAnsi="Times"/>
          <w:sz w:val="24"/>
          <w:szCs w:val="24"/>
        </w:rPr>
        <w:t>cut</w:t>
      </w:r>
      <w:proofErr w:type="spellEnd"/>
      <w:r w:rsidRPr="00BC099D">
        <w:rPr>
          <w:rFonts w:ascii="Times" w:hAnsi="Times"/>
          <w:sz w:val="24"/>
          <w:szCs w:val="24"/>
        </w:rPr>
        <w:t>-off 20,0UI).</w:t>
      </w:r>
    </w:p>
    <w:p w14:paraId="350C5DA4" w14:textId="100B9217" w:rsidR="00BC099D" w:rsidRPr="00BC099D" w:rsidRDefault="00BC099D" w:rsidP="00BC099D">
      <w:pPr>
        <w:spacing w:after="200" w:line="240" w:lineRule="auto"/>
        <w:jc w:val="both"/>
        <w:rPr>
          <w:rFonts w:ascii="Times" w:hAnsi="Times"/>
          <w:b/>
          <w:sz w:val="24"/>
          <w:szCs w:val="24"/>
        </w:rPr>
      </w:pPr>
      <w:proofErr w:type="spellStart"/>
      <w:r w:rsidRPr="00BC099D">
        <w:rPr>
          <w:rFonts w:ascii="Times" w:hAnsi="Times"/>
          <w:sz w:val="24"/>
          <w:szCs w:val="24"/>
        </w:rPr>
        <w:t>Tipagem</w:t>
      </w:r>
      <w:proofErr w:type="spellEnd"/>
      <w:r w:rsidRPr="00BC099D">
        <w:rPr>
          <w:rFonts w:ascii="Times" w:hAnsi="Times"/>
          <w:sz w:val="24"/>
          <w:szCs w:val="24"/>
        </w:rPr>
        <w:t xml:space="preserve"> HLA de classe II: </w:t>
      </w:r>
      <w:r w:rsidRPr="00BC099D">
        <w:rPr>
          <w:rFonts w:ascii="Times" w:hAnsi="Times"/>
          <w:b/>
          <w:i/>
          <w:sz w:val="24"/>
          <w:szCs w:val="24"/>
        </w:rPr>
        <w:t>DQA1</w:t>
      </w:r>
      <w:r w:rsidRPr="00BC099D">
        <w:rPr>
          <w:rFonts w:ascii="Times" w:hAnsi="Times"/>
          <w:b/>
          <w:sz w:val="24"/>
          <w:szCs w:val="24"/>
        </w:rPr>
        <w:t>*03</w:t>
      </w:r>
      <w:r w:rsidRPr="00BC099D">
        <w:rPr>
          <w:rFonts w:ascii="Times" w:hAnsi="Times"/>
          <w:sz w:val="24"/>
          <w:szCs w:val="24"/>
        </w:rPr>
        <w:t xml:space="preserve">:MN </w:t>
      </w:r>
      <w:r w:rsidRPr="00BC099D">
        <w:rPr>
          <w:rFonts w:ascii="Times" w:hAnsi="Times"/>
          <w:i/>
          <w:sz w:val="24"/>
          <w:szCs w:val="24"/>
        </w:rPr>
        <w:t>DQA1</w:t>
      </w:r>
      <w:r w:rsidRPr="00BC099D">
        <w:rPr>
          <w:rFonts w:ascii="Times" w:hAnsi="Times"/>
          <w:sz w:val="24"/>
          <w:szCs w:val="24"/>
        </w:rPr>
        <w:t xml:space="preserve">*04:01 - </w:t>
      </w:r>
      <w:r w:rsidRPr="00BC099D">
        <w:rPr>
          <w:rFonts w:ascii="Times" w:hAnsi="Times"/>
          <w:b/>
          <w:i/>
          <w:sz w:val="24"/>
          <w:szCs w:val="24"/>
        </w:rPr>
        <w:t>DQB1</w:t>
      </w:r>
      <w:r w:rsidRPr="00BC099D">
        <w:rPr>
          <w:rFonts w:ascii="Times" w:hAnsi="Times"/>
          <w:b/>
          <w:sz w:val="24"/>
          <w:szCs w:val="24"/>
        </w:rPr>
        <w:t>*03:02</w:t>
      </w:r>
      <w:r w:rsidRPr="00BC099D">
        <w:rPr>
          <w:rFonts w:ascii="Times" w:hAnsi="Times"/>
          <w:sz w:val="24"/>
          <w:szCs w:val="24"/>
        </w:rPr>
        <w:t xml:space="preserve"> </w:t>
      </w:r>
      <w:r w:rsidRPr="00BC099D">
        <w:rPr>
          <w:rFonts w:ascii="Times" w:hAnsi="Times"/>
          <w:i/>
          <w:sz w:val="24"/>
          <w:szCs w:val="24"/>
        </w:rPr>
        <w:t>DQB1</w:t>
      </w:r>
      <w:r w:rsidRPr="00BC099D">
        <w:rPr>
          <w:rFonts w:ascii="Times" w:hAnsi="Times"/>
          <w:sz w:val="24"/>
          <w:szCs w:val="24"/>
        </w:rPr>
        <w:t xml:space="preserve">*04:02 - </w:t>
      </w:r>
      <w:r w:rsidRPr="00BC099D">
        <w:rPr>
          <w:rFonts w:ascii="Times" w:hAnsi="Times"/>
          <w:b/>
          <w:i/>
          <w:sz w:val="24"/>
          <w:szCs w:val="24"/>
        </w:rPr>
        <w:t>DRB1</w:t>
      </w:r>
      <w:r w:rsidRPr="00BC099D">
        <w:rPr>
          <w:rFonts w:ascii="Times" w:hAnsi="Times"/>
          <w:b/>
          <w:sz w:val="24"/>
          <w:szCs w:val="24"/>
        </w:rPr>
        <w:t xml:space="preserve">*04:02 </w:t>
      </w:r>
      <w:r w:rsidRPr="00BC099D">
        <w:rPr>
          <w:rFonts w:ascii="Times" w:hAnsi="Times"/>
          <w:b/>
          <w:i/>
          <w:sz w:val="24"/>
          <w:szCs w:val="24"/>
        </w:rPr>
        <w:t>DRB1</w:t>
      </w:r>
      <w:r w:rsidRPr="00BC099D">
        <w:rPr>
          <w:rFonts w:ascii="Times" w:hAnsi="Times"/>
          <w:b/>
          <w:sz w:val="24"/>
          <w:szCs w:val="24"/>
        </w:rPr>
        <w:t xml:space="preserve">*08:04 </w:t>
      </w:r>
    </w:p>
    <w:p w14:paraId="69BDB526" w14:textId="6E07E346" w:rsidR="00BC099D" w:rsidRDefault="00BC099D" w:rsidP="006C3BF4">
      <w:pPr>
        <w:spacing w:after="20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BC099D">
        <w:rPr>
          <w:rFonts w:ascii="Times" w:hAnsi="Times"/>
          <w:sz w:val="24"/>
          <w:szCs w:val="24"/>
        </w:rPr>
        <w:t xml:space="preserve">Evolução: Evoluiu com infecção secundária das lesões de pele, sendo prescritos </w:t>
      </w:r>
      <w:proofErr w:type="spellStart"/>
      <w:r w:rsidRPr="00BC099D">
        <w:rPr>
          <w:rFonts w:ascii="Times" w:hAnsi="Times"/>
          <w:sz w:val="24"/>
          <w:szCs w:val="24"/>
        </w:rPr>
        <w:t>oxacilina</w:t>
      </w:r>
      <w:proofErr w:type="spellEnd"/>
      <w:r w:rsidRPr="00BC099D">
        <w:rPr>
          <w:rFonts w:ascii="Times" w:hAnsi="Times"/>
          <w:sz w:val="24"/>
          <w:szCs w:val="24"/>
        </w:rPr>
        <w:t xml:space="preserve"> e </w:t>
      </w:r>
      <w:proofErr w:type="spellStart"/>
      <w:r w:rsidRPr="00BC099D">
        <w:rPr>
          <w:rFonts w:ascii="Times" w:hAnsi="Times"/>
          <w:sz w:val="24"/>
          <w:szCs w:val="24"/>
        </w:rPr>
        <w:t>Bactrim</w:t>
      </w:r>
      <w:proofErr w:type="spellEnd"/>
      <w:r w:rsidRPr="00BC099D">
        <w:rPr>
          <w:rFonts w:ascii="Times" w:hAnsi="Times"/>
          <w:sz w:val="24"/>
          <w:szCs w:val="24"/>
        </w:rPr>
        <w:t xml:space="preserve"> (</w:t>
      </w:r>
      <w:proofErr w:type="spellStart"/>
      <w:r w:rsidRPr="00BC099D">
        <w:rPr>
          <w:rFonts w:ascii="Times" w:hAnsi="Times"/>
          <w:sz w:val="24"/>
          <w:szCs w:val="24"/>
        </w:rPr>
        <w:t>sulfametoxazol</w:t>
      </w:r>
      <w:proofErr w:type="spellEnd"/>
      <w:r w:rsidRPr="00BC099D">
        <w:rPr>
          <w:rFonts w:ascii="Times" w:hAnsi="Times"/>
          <w:sz w:val="24"/>
          <w:szCs w:val="24"/>
        </w:rPr>
        <w:t xml:space="preserve"> / </w:t>
      </w:r>
      <w:proofErr w:type="spellStart"/>
      <w:r w:rsidRPr="00BC099D">
        <w:rPr>
          <w:rFonts w:ascii="Times" w:hAnsi="Times"/>
          <w:sz w:val="24"/>
          <w:szCs w:val="24"/>
        </w:rPr>
        <w:t>trimetropim</w:t>
      </w:r>
      <w:proofErr w:type="spellEnd"/>
      <w:r w:rsidRPr="00BC099D">
        <w:rPr>
          <w:rFonts w:ascii="Times" w:hAnsi="Times"/>
          <w:sz w:val="24"/>
          <w:szCs w:val="24"/>
        </w:rPr>
        <w:t xml:space="preserve">); infecção herpética disseminada no tronco, sendo tratado com </w:t>
      </w:r>
      <w:proofErr w:type="spellStart"/>
      <w:r w:rsidRPr="00BC099D">
        <w:rPr>
          <w:rFonts w:ascii="Times" w:hAnsi="Times"/>
          <w:sz w:val="24"/>
          <w:szCs w:val="24"/>
        </w:rPr>
        <w:t>aciclovir</w:t>
      </w:r>
      <w:proofErr w:type="spellEnd"/>
      <w:r w:rsidRPr="00BC099D">
        <w:rPr>
          <w:rFonts w:ascii="Times" w:hAnsi="Times"/>
          <w:sz w:val="24"/>
          <w:szCs w:val="24"/>
        </w:rPr>
        <w:t xml:space="preserve"> (e posterior manutenção). A seguir, indicada pulsoterapia, sendo realizados 18 pulsos de </w:t>
      </w:r>
      <w:proofErr w:type="spellStart"/>
      <w:r w:rsidRPr="00BC099D">
        <w:rPr>
          <w:rFonts w:ascii="Times" w:hAnsi="Times"/>
          <w:sz w:val="24"/>
          <w:szCs w:val="24"/>
        </w:rPr>
        <w:t>dexametasona</w:t>
      </w:r>
      <w:proofErr w:type="spellEnd"/>
      <w:r w:rsidRPr="00BC099D">
        <w:rPr>
          <w:rFonts w:ascii="Times" w:hAnsi="Times"/>
          <w:sz w:val="24"/>
          <w:szCs w:val="24"/>
        </w:rPr>
        <w:t xml:space="preserve"> (últimos 9 pulsos estava em remissão); suplementação de cálcio, vitamina D, sulfato ferroso, e ácido fólico (anemia pelo vegetarianismo?). </w:t>
      </w:r>
      <w:proofErr w:type="spellStart"/>
      <w:r w:rsidRPr="00BC099D">
        <w:rPr>
          <w:rFonts w:ascii="Times" w:hAnsi="Times"/>
          <w:sz w:val="24"/>
          <w:szCs w:val="24"/>
        </w:rPr>
        <w:t>Imunofluorescência</w:t>
      </w:r>
      <w:proofErr w:type="spellEnd"/>
      <w:r w:rsidRPr="00BC099D">
        <w:rPr>
          <w:rFonts w:ascii="Times" w:hAnsi="Times"/>
          <w:sz w:val="24"/>
          <w:szCs w:val="24"/>
        </w:rPr>
        <w:t xml:space="preserve"> indireta (IFI) em 2019: negativa.</w:t>
      </w:r>
    </w:p>
    <w:sectPr w:rsidR="00BC09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BB13" w14:textId="77777777" w:rsidR="00941590" w:rsidRDefault="00941590" w:rsidP="006C3BF4">
      <w:pPr>
        <w:spacing w:after="0" w:line="240" w:lineRule="auto"/>
      </w:pPr>
      <w:r>
        <w:separator/>
      </w:r>
    </w:p>
  </w:endnote>
  <w:endnote w:type="continuationSeparator" w:id="0">
    <w:p w14:paraId="3E688C8E" w14:textId="77777777" w:rsidR="00941590" w:rsidRDefault="00941590" w:rsidP="006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IXGeneral-Regular">
    <w:altName w:val="Times New Roman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CA2B" w14:textId="77777777" w:rsidR="00941590" w:rsidRDefault="00941590" w:rsidP="006C3BF4">
      <w:pPr>
        <w:spacing w:after="0" w:line="240" w:lineRule="auto"/>
      </w:pPr>
      <w:r>
        <w:separator/>
      </w:r>
    </w:p>
  </w:footnote>
  <w:footnote w:type="continuationSeparator" w:id="0">
    <w:p w14:paraId="79D01320" w14:textId="77777777" w:rsidR="00941590" w:rsidRDefault="00941590" w:rsidP="006C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406815"/>
      <w:docPartObj>
        <w:docPartGallery w:val="Page Numbers (Top of Page)"/>
        <w:docPartUnique/>
      </w:docPartObj>
    </w:sdtPr>
    <w:sdtEndPr/>
    <w:sdtContent>
      <w:p w14:paraId="154F192F" w14:textId="25BB8949" w:rsidR="006C3BF4" w:rsidRDefault="006C3BF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BD4B53" w14:textId="77777777" w:rsidR="006C3BF4" w:rsidRDefault="006C3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99"/>
    <w:rsid w:val="000241C8"/>
    <w:rsid w:val="00041431"/>
    <w:rsid w:val="00096135"/>
    <w:rsid w:val="000E08A0"/>
    <w:rsid w:val="00160E30"/>
    <w:rsid w:val="00220F1B"/>
    <w:rsid w:val="002320FC"/>
    <w:rsid w:val="002570A1"/>
    <w:rsid w:val="002B45B7"/>
    <w:rsid w:val="00353499"/>
    <w:rsid w:val="00531F7D"/>
    <w:rsid w:val="006C3BF4"/>
    <w:rsid w:val="007511A8"/>
    <w:rsid w:val="008D654A"/>
    <w:rsid w:val="00903C9C"/>
    <w:rsid w:val="00922A23"/>
    <w:rsid w:val="00930C32"/>
    <w:rsid w:val="00941590"/>
    <w:rsid w:val="009715B4"/>
    <w:rsid w:val="00A73B9B"/>
    <w:rsid w:val="00BC099D"/>
    <w:rsid w:val="00C80DE7"/>
    <w:rsid w:val="00E0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B50D59"/>
  <w15:docId w15:val="{DBCF52A4-AD66-4BCA-A1BF-F0BF794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F4"/>
  </w:style>
  <w:style w:type="paragraph" w:styleId="Footer">
    <w:name w:val="footer"/>
    <w:basedOn w:val="Normal"/>
    <w:link w:val="FooterChar"/>
    <w:uiPriority w:val="99"/>
    <w:unhideWhenUsed/>
    <w:rsid w:val="006C3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Roberto Bueno Filho</cp:lastModifiedBy>
  <cp:revision>4</cp:revision>
  <dcterms:created xsi:type="dcterms:W3CDTF">2020-11-26T22:39:00Z</dcterms:created>
  <dcterms:modified xsi:type="dcterms:W3CDTF">2020-12-01T17:45:00Z</dcterms:modified>
</cp:coreProperties>
</file>