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6n22dv8ev35" w:id="0"/>
      <w:bookmarkEnd w:id="0"/>
      <w:r w:rsidDel="00000000" w:rsidR="00000000" w:rsidRPr="00000000">
        <w:rPr>
          <w:rtl w:val="0"/>
        </w:rPr>
        <w:t xml:space="preserve">Planejamento urbano e mobilidade ativa na regulação de São Paulo</w:t>
      </w:r>
    </w:p>
    <w:p w:rsidR="00000000" w:rsidDel="00000000" w:rsidP="00000000" w:rsidRDefault="00000000" w:rsidRPr="00000000" w14:paraId="00000002">
      <w:pPr>
        <w:pStyle w:val="Subtitle"/>
        <w:jc w:val="right"/>
        <w:rPr/>
      </w:pPr>
      <w:bookmarkStart w:colFirst="0" w:colLast="0" w:name="_3qarxbrpf14" w:id="1"/>
      <w:bookmarkEnd w:id="1"/>
      <w:r w:rsidDel="00000000" w:rsidR="00000000" w:rsidRPr="00000000">
        <w:rPr>
          <w:rtl w:val="0"/>
        </w:rPr>
        <w:t xml:space="preserve">Deiny Façanha Costa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t17cfdn174e3" w:id="2"/>
      <w:bookmarkEnd w:id="2"/>
      <w:r w:rsidDel="00000000" w:rsidR="00000000" w:rsidRPr="00000000">
        <w:rPr>
          <w:b w:val="1"/>
          <w:rtl w:val="0"/>
        </w:rPr>
        <w:t xml:space="preserve">Objeto: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O artigo aborda a relação entre planejamento urbano e mobilidade ativa na regulação do município de São Paulo a partir da leitura de como o tema é tratado no Plano Diretor Estratégico (PDE 2014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ixu9h758dvye" w:id="3"/>
      <w:bookmarkEnd w:id="3"/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O intuito é compreender como as proposições do PDE 2014 para planejamento urbano se relacionam de forma a induzir a mobilidade ativa e/ou reduzir o uso do transporte motorizado individual. Pretende-se também com o artigo, subsidiar futuros debates sobre a revisão desta regulação.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rymbnf7vp4j6" w:id="4"/>
      <w:bookmarkEnd w:id="4"/>
      <w:r w:rsidDel="00000000" w:rsidR="00000000" w:rsidRPr="00000000">
        <w:rPr>
          <w:b w:val="1"/>
          <w:rtl w:val="0"/>
        </w:rPr>
        <w:t xml:space="preserve">Justificativa: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O sistema de transportes de São Paulo historicamente privilegia o transporte motorizado individual, relegando a segundo plano o transporte coletivo e os modos ativos – apesar de mais da metade das viagens serem realizadas pelo modo coletivo e à pé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 O município já viveu diferentes estágios de regulação, gestão e implantação das infraestruturas para mobilidade ativa. Todo o processo de compreensão de sua consolidação tem sido bem documentado, no entanto poucos são os que articulam uma leitura do desenvolvimento urbano e mobilidade ativa com foco nas alterações regulatórias propositivas. 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Para o artigo, o recorte temporal escolhido será o da década de 2010, com foco no período após a aprovação do PDE 2014 - previsto para a ser revisto de forma participativa em 2021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. Tal lei traz em seu bojo (i) uma série de diretrizes que procuram integrar desenvolvimento urbano e mobilidade; (ii) instrumentos urbanísticos de estímulo à mobilidade ativa que regem o espaço privado - fachada ativa, fruição pública, estacionamento para bicicletas, limitações de testada de quadra, entre outros -; (iii) instrumentos urbanísticos que procuram desestimular os modos motorizados individuais, como redução de vagas de garagem e em via pública, entre outros; e (iv) usos do solo que proporcionam espaços públicos mais seguros e vivos através do adensamento construtivo e populacional, e uso misto.</w:t>
      </w:r>
    </w:p>
    <w:p w:rsidR="00000000" w:rsidDel="00000000" w:rsidP="00000000" w:rsidRDefault="00000000" w:rsidRPr="00000000" w14:paraId="0000000D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Leis como o PDE 2014, tidas inicialmente como vitórias da sociedade civil organizada e do movimento cicloativista, atualmente parecem ser conquistas em disputa. Tentativas de alterar o PDE 2014 e o LPUOS 2016 - a exemplo do Projeto de Lei 217/2020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- especialmente revendo os instrumentos que procuram restringir ou desestimular a mobilidade motorizada individual. A revisão do PDE 2014 retomará estas pressões para a pauta, sem uma revisão e análise do que foi incorporado na regulação e o que segue sendo pauta da agenda. Este trabalho analisará esta regulação, seu processo de concepção e gestão, de forma a elencar os temas de debate e problematizá-los, preparando-se para o contexto de disputa que se aproxima.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kjesjho99l8i" w:id="5"/>
      <w:bookmarkEnd w:id="5"/>
      <w:r w:rsidDel="00000000" w:rsidR="00000000" w:rsidRPr="00000000">
        <w:rPr>
          <w:rtl w:val="0"/>
        </w:rPr>
        <w:t xml:space="preserve">Metodologia: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Levantar e analisar todas as proposições presentes no PDE 2014 relativas à mobilidade ativa. A análise pretende observar: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as diretrizes e objetivos de incentivo à mobilidade ativa;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os instrumentos urbanísticos utilizados para fomentar o uso e ocupação do solo favoráveis à mobilidade ativa ou que estimulem a integração com os modos coletivos e desestimulem a mobilidade motorizada individual;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os usos do solo que induzem o adensamento construtivo e populacional, e também o uso misto, em direção a qualificação dos espaços públicos.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wb2e577pkm5a" w:id="6"/>
      <w:bookmarkEnd w:id="6"/>
      <w:r w:rsidDel="00000000" w:rsidR="00000000" w:rsidRPr="00000000">
        <w:rPr>
          <w:rtl w:val="0"/>
        </w:rPr>
        <w:t xml:space="preserve">Referências:</w:t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rPr>
          <w:rtl w:val="0"/>
        </w:rPr>
        <w:t xml:space="preserve">LEMOS, Letícia; HARKOT, Marina; SANTORO, Paula; RAMOS, Isis. </w:t>
      </w:r>
      <w:r w:rsidDel="00000000" w:rsidR="00000000" w:rsidRPr="00000000">
        <w:rPr>
          <w:b w:val="1"/>
          <w:rtl w:val="0"/>
        </w:rPr>
        <w:t xml:space="preserve">Mulheres, por que não pedalam? Por que há menos mulheres do que homens usando bicicleta em São Paulo, Brasil?</w:t>
      </w:r>
      <w:r w:rsidDel="00000000" w:rsidR="00000000" w:rsidRPr="00000000">
        <w:rPr>
          <w:rtl w:val="0"/>
        </w:rPr>
        <w:t xml:space="preserve">, Revista Transporte y Territorio, 2017. p. 68-92.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1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Art. 4º da Lei 16.050, de 31 de julho de 2014 - PDE 2014.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 Projeto de Lei 217/ 2020 institui o Plano Emergencial de Ativação Econômica na Cidade de São Paulo que se contrapõe às proposições de desincentivo ao automóvel e incentivo do transporte coletivo e modos ativos presentes no PDE 2014 ao sugerir a redução do adensamento, propor aumento das vagas de garagem nas Zonas de Estruturação da Transformação Urbana e nas Zonas de Estruturação Previstas.</w:t>
      </w:r>
    </w:p>
  </w:footnote>
  <w:footnote w:id="1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Informação disponível na Pesquisa Origem e Destino de 2017 do Metrô: &lt;http://www.metro.sp.gov.br/pesquisa-od/&gt;</w:t>
      </w:r>
    </w:p>
  </w:footnote>
  <w:footnote w:id="0">
    <w:p w:rsidR="00000000" w:rsidDel="00000000" w:rsidP="00000000" w:rsidRDefault="00000000" w:rsidRPr="00000000" w14:paraId="0000001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Lei 16.050, de 31 de julho de 2014. Aprova a Política de Desenvolvimento Urbano e o Plano Diretor Estratégico do Município de São Paulo e revoga a Lei nº 13.430/2002.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_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jc w:val="right"/>
    </w:pPr>
    <w:rPr>
      <w:color w:val="434343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