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07" w:rsidRPr="000D1921" w:rsidRDefault="00E12407" w:rsidP="00D129C6">
      <w:pPr>
        <w:jc w:val="center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DC7A8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CETINDAMAR, </w:t>
      </w:r>
      <w:proofErr w:type="spellStart"/>
      <w:r w:rsidRPr="00DC7A8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Dilek</w:t>
      </w:r>
      <w:proofErr w:type="spellEnd"/>
      <w:r w:rsidRPr="00DC7A8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; PHAAL, Rob; PROBERT, David. </w:t>
      </w:r>
      <w:r w:rsidRPr="00DC7A83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Technology management: act</w:t>
      </w:r>
      <w:bookmarkStart w:id="0" w:name="_GoBack"/>
      <w:bookmarkEnd w:id="0"/>
      <w:r w:rsidRPr="00DC7A83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ivities and tools</w:t>
      </w:r>
      <w:r w:rsidRPr="00DC7A8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. Macmillan International Higher Education, 2016.</w:t>
      </w:r>
    </w:p>
    <w:p w:rsidR="00E12407" w:rsidRPr="00DC7A83" w:rsidRDefault="00E12407" w:rsidP="00D129C6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DC7A83">
        <w:rPr>
          <w:rFonts w:ascii="Times New Roman" w:hAnsi="Times New Roman" w:cs="Times New Roman"/>
          <w:sz w:val="24"/>
          <w:szCs w:val="24"/>
          <w:lang w:val="pt-BR"/>
        </w:rPr>
        <w:t>Diego Jorge Alves Borges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- 12059102</w:t>
      </w:r>
    </w:p>
    <w:p w:rsidR="00E12407" w:rsidRPr="000D1921" w:rsidRDefault="00E12407" w:rsidP="00E1240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D1921">
        <w:rPr>
          <w:rFonts w:ascii="Times New Roman" w:hAnsi="Times New Roman" w:cs="Times New Roman"/>
          <w:sz w:val="24"/>
          <w:szCs w:val="24"/>
          <w:lang w:val="pt-BR"/>
        </w:rPr>
        <w:t xml:space="preserve">SOBRE A AUTORA PRINCIPAL: </w:t>
      </w:r>
    </w:p>
    <w:p w:rsidR="00E12407" w:rsidRDefault="00E12407" w:rsidP="00E12407">
      <w:pPr>
        <w:ind w:left="31" w:firstLine="32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Dilek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Ç</w:t>
      </w:r>
      <w:r w:rsidRPr="00DC7A83">
        <w:rPr>
          <w:rFonts w:ascii="Times New Roman" w:hAnsi="Times New Roman" w:cs="Times New Roman"/>
          <w:sz w:val="24"/>
          <w:szCs w:val="24"/>
          <w:lang w:val="pt-BR"/>
        </w:rPr>
        <w:t>etindamar</w:t>
      </w:r>
      <w:proofErr w:type="spellEnd"/>
      <w:r w:rsidRPr="00DC7A83">
        <w:rPr>
          <w:rFonts w:ascii="Times New Roman" w:hAnsi="Times New Roman" w:cs="Times New Roman"/>
          <w:sz w:val="24"/>
          <w:szCs w:val="24"/>
          <w:lang w:val="pt-BR"/>
        </w:rPr>
        <w:t xml:space="preserve"> é uma pesquisadora de origem turca</w:t>
      </w:r>
      <w:r>
        <w:rPr>
          <w:rFonts w:ascii="Times New Roman" w:hAnsi="Times New Roman" w:cs="Times New Roman"/>
          <w:sz w:val="24"/>
          <w:szCs w:val="24"/>
          <w:lang w:val="pt-BR"/>
        </w:rPr>
        <w:t>, graduada</w:t>
      </w:r>
      <w:r w:rsidRPr="00DE352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em Engenharia Industrial pela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Bogazici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, em Istambul, e</w:t>
      </w:r>
      <w:r w:rsidRPr="00DC7A83">
        <w:rPr>
          <w:rFonts w:ascii="Times New Roman" w:hAnsi="Times New Roman" w:cs="Times New Roman"/>
          <w:sz w:val="24"/>
          <w:szCs w:val="24"/>
          <w:lang w:val="pt-BR"/>
        </w:rPr>
        <w:t xml:space="preserve"> atualmente trabalha na </w:t>
      </w:r>
      <w:proofErr w:type="spellStart"/>
      <w:r w:rsidRPr="00DC7A83">
        <w:rPr>
          <w:rFonts w:ascii="Times New Roman" w:hAnsi="Times New Roman" w:cs="Times New Roman"/>
          <w:sz w:val="24"/>
          <w:szCs w:val="24"/>
          <w:lang w:val="pt-BR"/>
        </w:rPr>
        <w:t>University</w:t>
      </w:r>
      <w:proofErr w:type="spellEnd"/>
      <w:r w:rsidRPr="00DC7A8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DC7A83">
        <w:rPr>
          <w:rFonts w:ascii="Times New Roman" w:hAnsi="Times New Roman" w:cs="Times New Roman"/>
          <w:sz w:val="24"/>
          <w:szCs w:val="24"/>
          <w:lang w:val="pt-BR"/>
        </w:rPr>
        <w:t>of</w:t>
      </w:r>
      <w:proofErr w:type="spellEnd"/>
      <w:r w:rsidRPr="00DC7A83">
        <w:rPr>
          <w:rFonts w:ascii="Times New Roman" w:hAnsi="Times New Roman" w:cs="Times New Roman"/>
          <w:sz w:val="24"/>
          <w:szCs w:val="24"/>
          <w:lang w:val="pt-BR"/>
        </w:rPr>
        <w:t xml:space="preserve"> Technology, na cidade de Sydney (Austrália).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Possui mestrado pelo Departamento de Economia da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Bogazici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, com o trabalho “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Economic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History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Planning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”, e Ph.D. pelo Departamento de Gestão da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Istanbul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Technical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com a tese “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Impact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New Technologies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on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Scale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: a Case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Study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Turkish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Chemical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Industry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>”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E12407" w:rsidRDefault="00E12407" w:rsidP="00E12407">
      <w:pPr>
        <w:ind w:left="24" w:firstLine="33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DILEK</w:t>
      </w:r>
      <w:r w:rsidRPr="00DC7A83">
        <w:rPr>
          <w:rFonts w:ascii="Times New Roman" w:hAnsi="Times New Roman" w:cs="Times New Roman"/>
          <w:sz w:val="24"/>
          <w:szCs w:val="24"/>
          <w:lang w:val="pt-BR"/>
        </w:rPr>
        <w:t xml:space="preserve"> já foi citada por mais de 2400 vezes e, de acordo com a sua página no </w:t>
      </w:r>
      <w:proofErr w:type="spellStart"/>
      <w:r w:rsidRPr="00DC7A83">
        <w:rPr>
          <w:rFonts w:ascii="Times New Roman" w:hAnsi="Times New Roman" w:cs="Times New Roman"/>
          <w:i/>
          <w:sz w:val="24"/>
          <w:szCs w:val="24"/>
          <w:lang w:val="pt-BR"/>
        </w:rPr>
        <w:t>Research</w:t>
      </w:r>
      <w:proofErr w:type="spellEnd"/>
      <w:r w:rsidRPr="00DC7A83">
        <w:rPr>
          <w:rFonts w:ascii="Times New Roman" w:hAnsi="Times New Roman" w:cs="Times New Roman"/>
          <w:i/>
          <w:sz w:val="24"/>
          <w:szCs w:val="24"/>
          <w:lang w:val="pt-BR"/>
        </w:rPr>
        <w:t xml:space="preserve"> Gate</w:t>
      </w:r>
      <w:r w:rsidRPr="00DC7A83">
        <w:rPr>
          <w:rFonts w:ascii="Times New Roman" w:hAnsi="Times New Roman" w:cs="Times New Roman"/>
          <w:sz w:val="24"/>
          <w:szCs w:val="24"/>
          <w:lang w:val="pt-BR"/>
        </w:rPr>
        <w:t>, possui 120 publicações entre livros e artigos. Seu índice h (métrica para a produtividade e impacto do cientista) corresponde a 22 (</w:t>
      </w:r>
      <w:r w:rsidRPr="00DC7A83">
        <w:rPr>
          <w:rFonts w:ascii="Times New Roman" w:hAnsi="Times New Roman" w:cs="Times New Roman"/>
          <w:i/>
          <w:sz w:val="24"/>
          <w:szCs w:val="24"/>
          <w:lang w:val="pt-BR"/>
        </w:rPr>
        <w:t>Google Scholar</w:t>
      </w:r>
      <w:r w:rsidRPr="00DC7A83">
        <w:rPr>
          <w:rFonts w:ascii="Times New Roman" w:hAnsi="Times New Roman" w:cs="Times New Roman"/>
          <w:sz w:val="24"/>
          <w:szCs w:val="24"/>
          <w:lang w:val="pt-BR"/>
        </w:rPr>
        <w:t xml:space="preserve">), ou seja, ao menos 22 trabalhos de sua autoria têm, no mínimo, 22 citações em outros </w:t>
      </w:r>
      <w:proofErr w:type="spellStart"/>
      <w:r w:rsidRPr="00DC7A83">
        <w:rPr>
          <w:rFonts w:ascii="Times New Roman" w:hAnsi="Times New Roman" w:cs="Times New Roman"/>
          <w:sz w:val="24"/>
          <w:szCs w:val="24"/>
          <w:lang w:val="pt-BR"/>
        </w:rPr>
        <w:t>papers</w:t>
      </w:r>
      <w:proofErr w:type="spellEnd"/>
      <w:r w:rsidRPr="00DC7A83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Suas principais parcerias de trabalhos acadêmicos são com a Prof.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Annika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Rickne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da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KTH Royal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Institute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Technology,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da Suécia; Prof.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Ozge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da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Yasar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em Izmir (Turquia); e os professores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Okpan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Pala 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Umut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Ekmekci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da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Sabanci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, também na Turquia.</w:t>
      </w:r>
    </w:p>
    <w:p w:rsidR="00E12407" w:rsidRDefault="00E12407" w:rsidP="00E12407">
      <w:pPr>
        <w:ind w:left="24" w:firstLine="2"/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:rsidR="00E12407" w:rsidRDefault="00E12407" w:rsidP="00E1240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Capítulo do livro a ser estudado: “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Roadmapping” </w:t>
      </w:r>
      <w:r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140- 152).</w:t>
      </w:r>
    </w:p>
    <w:p w:rsidR="00E12407" w:rsidRDefault="00E12407" w:rsidP="00E12407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Introdução 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140)</w:t>
      </w:r>
    </w:p>
    <w:p w:rsidR="00E12407" w:rsidRDefault="00E12407" w:rsidP="00E12407">
      <w:pPr>
        <w:ind w:firstLine="284"/>
        <w:jc w:val="both"/>
        <w:rPr>
          <w:lang w:val="pt-BR"/>
        </w:rPr>
      </w:pPr>
      <w:r w:rsidRPr="0016380B">
        <w:rPr>
          <w:rFonts w:ascii="Times New Roman" w:hAnsi="Times New Roman" w:cs="Times New Roman"/>
          <w:sz w:val="24"/>
          <w:szCs w:val="24"/>
          <w:lang w:val="pt-BR"/>
        </w:rPr>
        <w:t xml:space="preserve">O texto começa destacando a importância do </w:t>
      </w:r>
      <w:r w:rsidRPr="0016380B"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 w:rsidRPr="0016380B">
        <w:rPr>
          <w:rFonts w:ascii="Times New Roman" w:hAnsi="Times New Roman" w:cs="Times New Roman"/>
          <w:sz w:val="24"/>
          <w:szCs w:val="24"/>
          <w:lang w:val="pt-BR"/>
        </w:rPr>
        <w:t>: “</w:t>
      </w:r>
      <w:r w:rsidRPr="0016380B"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 extensivamente usado na indústria e por governos para auxiliar estratégias, inovações e políticas</w:t>
      </w:r>
      <w:r w:rsidRPr="0016380B">
        <w:rPr>
          <w:rFonts w:ascii="Times New Roman" w:hAnsi="Times New Roman" w:cs="Times New Roman"/>
          <w:sz w:val="24"/>
          <w:szCs w:val="24"/>
          <w:lang w:val="pt-BR"/>
        </w:rPr>
        <w:t xml:space="preserve">”.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acordo com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Willyard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McClees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(1987), a técnica pode ser creditada à Motorola, que desenvolveu tal abordagem nos anos de 1970 para auxiliar na integração de planejamento estratégico entre produto/tecnologia. A essência do método consiste no uso de elementos gráficos simples que fornecem um panorama da estratégia a ser alinhada, formando uma estrutura </w:t>
      </w:r>
      <w:r w:rsidRPr="00CA749C">
        <w:rPr>
          <w:rFonts w:ascii="Times New Roman" w:hAnsi="Times New Roman" w:cs="Times New Roman"/>
          <w:sz w:val="24"/>
          <w:szCs w:val="24"/>
          <w:lang w:val="pt-BR"/>
        </w:rPr>
        <w:t>integrada que permite aos</w:t>
      </w:r>
      <w:r w:rsidRPr="00CA749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CA749C">
        <w:rPr>
          <w:rFonts w:ascii="Times New Roman" w:hAnsi="Times New Roman" w:cs="Times New Roman"/>
          <w:i/>
          <w:sz w:val="24"/>
          <w:szCs w:val="24"/>
          <w:lang w:val="pt-BR"/>
        </w:rPr>
        <w:t>stakeholders</w:t>
      </w:r>
      <w:proofErr w:type="spellEnd"/>
      <w:r w:rsidRPr="00CA749C">
        <w:rPr>
          <w:rFonts w:ascii="Times New Roman" w:hAnsi="Times New Roman" w:cs="Times New Roman"/>
          <w:sz w:val="24"/>
          <w:szCs w:val="24"/>
          <w:lang w:val="pt-BR"/>
        </w:rPr>
        <w:t xml:space="preserve"> articularem suas perspectivas e facilitar a comunicação entre diversos setores da entidade jurídica que se utiliza deste recurso</w:t>
      </w:r>
      <w:r>
        <w:rPr>
          <w:lang w:val="pt-BR"/>
        </w:rPr>
        <w:t>.</w:t>
      </w:r>
    </w:p>
    <w:p w:rsidR="00E12407" w:rsidRPr="009738E2" w:rsidRDefault="00E12407" w:rsidP="00E12407">
      <w:pPr>
        <w:pStyle w:val="PargrafodaLista"/>
        <w:numPr>
          <w:ilvl w:val="1"/>
          <w:numId w:val="1"/>
        </w:numPr>
        <w:jc w:val="both"/>
        <w:rPr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Quando e porque é usada</w:t>
      </w:r>
      <w:r w:rsidRPr="009738E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(140-142)</w:t>
      </w:r>
    </w:p>
    <w:p w:rsidR="00E12407" w:rsidRPr="00F33524" w:rsidRDefault="00E12407" w:rsidP="00E1240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33524">
        <w:rPr>
          <w:rFonts w:ascii="Times New Roman" w:hAnsi="Times New Roman" w:cs="Times New Roman"/>
          <w:sz w:val="24"/>
          <w:szCs w:val="24"/>
          <w:lang w:val="pt-BR"/>
        </w:rPr>
        <w:t xml:space="preserve">O método de </w:t>
      </w:r>
      <w:r w:rsidRPr="00F33524"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 w:rsidRPr="00F33524">
        <w:rPr>
          <w:rFonts w:ascii="Times New Roman" w:hAnsi="Times New Roman" w:cs="Times New Roman"/>
          <w:sz w:val="24"/>
          <w:szCs w:val="24"/>
          <w:lang w:val="pt-BR"/>
        </w:rPr>
        <w:t xml:space="preserve"> é flexível, moldando inclusive a sua estrutura de acordo com a necessidade, e pode ser usado em diferentes setores por lidar com três principais questões:</w:t>
      </w:r>
    </w:p>
    <w:p w:rsidR="00E12407" w:rsidRPr="00F33524" w:rsidRDefault="00E12407" w:rsidP="00E12407">
      <w:pPr>
        <w:pStyle w:val="PargrafodaLista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F33524">
        <w:rPr>
          <w:rFonts w:ascii="Times New Roman" w:hAnsi="Times New Roman" w:cs="Times New Roman"/>
          <w:i/>
          <w:sz w:val="24"/>
          <w:szCs w:val="24"/>
          <w:lang w:val="pt-BR"/>
        </w:rPr>
        <w:t>Identification</w:t>
      </w:r>
      <w:proofErr w:type="spellEnd"/>
      <w:r w:rsidRPr="00F3352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F33524">
        <w:rPr>
          <w:rFonts w:ascii="Times New Roman" w:hAnsi="Times New Roman" w:cs="Times New Roman"/>
          <w:sz w:val="24"/>
          <w:szCs w:val="24"/>
          <w:lang w:val="pt-BR"/>
        </w:rPr>
        <w:t>(Identificação)</w:t>
      </w:r>
    </w:p>
    <w:p w:rsidR="00E12407" w:rsidRPr="00F33524" w:rsidRDefault="00E12407" w:rsidP="00E12407">
      <w:pPr>
        <w:pStyle w:val="PargrafodaLista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F33524">
        <w:rPr>
          <w:rFonts w:ascii="Times New Roman" w:hAnsi="Times New Roman" w:cs="Times New Roman"/>
          <w:i/>
          <w:sz w:val="24"/>
          <w:szCs w:val="24"/>
          <w:lang w:val="pt-BR"/>
        </w:rPr>
        <w:t>Exploitation</w:t>
      </w:r>
      <w:proofErr w:type="spellEnd"/>
      <w:r w:rsidRPr="00F3352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F33524">
        <w:rPr>
          <w:rFonts w:ascii="Times New Roman" w:hAnsi="Times New Roman" w:cs="Times New Roman"/>
          <w:sz w:val="24"/>
          <w:szCs w:val="24"/>
          <w:lang w:val="pt-BR"/>
        </w:rPr>
        <w:t>(Exploração)</w:t>
      </w:r>
    </w:p>
    <w:p w:rsidR="00E12407" w:rsidRPr="00F33524" w:rsidRDefault="00E12407" w:rsidP="00E12407">
      <w:pPr>
        <w:pStyle w:val="PargrafodaLista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33524">
        <w:rPr>
          <w:rFonts w:ascii="Times New Roman" w:hAnsi="Times New Roman" w:cs="Times New Roman"/>
          <w:i/>
          <w:sz w:val="24"/>
          <w:szCs w:val="24"/>
          <w:lang w:val="pt-BR"/>
        </w:rPr>
        <w:t xml:space="preserve">Learning </w:t>
      </w:r>
      <w:r w:rsidRPr="00F33524">
        <w:rPr>
          <w:rFonts w:ascii="Times New Roman" w:hAnsi="Times New Roman" w:cs="Times New Roman"/>
          <w:sz w:val="24"/>
          <w:szCs w:val="24"/>
          <w:lang w:val="pt-BR"/>
        </w:rPr>
        <w:t>(Aprendizado)</w:t>
      </w:r>
    </w:p>
    <w:p w:rsidR="00E12407" w:rsidRDefault="00E12407" w:rsidP="00E12407">
      <w:pPr>
        <w:jc w:val="both"/>
        <w:rPr>
          <w:lang w:val="pt-BR"/>
        </w:rPr>
      </w:pPr>
    </w:p>
    <w:p w:rsidR="00E12407" w:rsidRDefault="00E12407" w:rsidP="00E12407">
      <w:pPr>
        <w:jc w:val="both"/>
        <w:rPr>
          <w:lang w:val="pt-BR"/>
        </w:rPr>
      </w:pPr>
    </w:p>
    <w:p w:rsidR="00E12407" w:rsidRDefault="00E12407" w:rsidP="00E12407">
      <w:pPr>
        <w:jc w:val="both"/>
        <w:rPr>
          <w:lang w:val="pt-BR"/>
        </w:rPr>
      </w:pPr>
    </w:p>
    <w:p w:rsidR="00E12407" w:rsidRDefault="00E12407" w:rsidP="00E12407">
      <w:pPr>
        <w:jc w:val="both"/>
        <w:rPr>
          <w:lang w:val="pt-BR"/>
        </w:rPr>
      </w:pPr>
    </w:p>
    <w:p w:rsidR="00E12407" w:rsidRPr="00A25E93" w:rsidRDefault="00E12407" w:rsidP="00E12407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Figura 1: </w:t>
      </w:r>
      <w:r w:rsidRPr="001D771E">
        <w:rPr>
          <w:rFonts w:ascii="Times New Roman" w:hAnsi="Times New Roman" w:cs="Times New Roman"/>
          <w:i/>
          <w:sz w:val="20"/>
          <w:szCs w:val="20"/>
          <w:lang w:val="pt-BR"/>
        </w:rPr>
        <w:t>roadmap</w:t>
      </w:r>
      <w:r w:rsidRPr="001D771E">
        <w:rPr>
          <w:rFonts w:ascii="Times New Roman" w:hAnsi="Times New Roman" w:cs="Times New Roman"/>
          <w:sz w:val="20"/>
          <w:szCs w:val="20"/>
          <w:lang w:val="pt-BR"/>
        </w:rPr>
        <w:t xml:space="preserve"> esquemático.</w:t>
      </w:r>
    </w:p>
    <w:p w:rsidR="00E12407" w:rsidRDefault="00E12407" w:rsidP="00E12407">
      <w:pPr>
        <w:jc w:val="both"/>
        <w:rPr>
          <w:lang w:val="pt-BR"/>
        </w:rPr>
      </w:pPr>
      <w:r w:rsidRPr="001D771E">
        <w:rPr>
          <w:noProof/>
        </w:rPr>
        <w:drawing>
          <wp:inline distT="0" distB="0" distL="0" distR="0" wp14:anchorId="46704381" wp14:editId="5BDA76DD">
            <wp:extent cx="5400000" cy="3237966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51" t="3767" r="5810" b="3787"/>
                    <a:stretch/>
                  </pic:blipFill>
                  <pic:spPr bwMode="auto">
                    <a:xfrm>
                      <a:off x="0" y="0"/>
                      <a:ext cx="5400000" cy="3237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407" w:rsidRPr="00A25E93" w:rsidRDefault="00E12407" w:rsidP="00E12407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Fonte: CETINDAMAR; PHAAL; PROBERT, 2016.</w:t>
      </w:r>
    </w:p>
    <w:p w:rsidR="00E12407" w:rsidRDefault="00E12407" w:rsidP="00E12407">
      <w:pPr>
        <w:ind w:left="24" w:firstLine="32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Os autores colocam o processo de inovação como um funil, por onde ideias ainda difusas passam por um tratamento interativo de modo a sistematizar aquelas com maior possibilidade de materialização no futuro.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portanto pode ser usado neste processo para estruturar e capturar as proposições que melhor se alinham com os objetivos à longo prazo do cliente. </w:t>
      </w:r>
    </w:p>
    <w:p w:rsidR="00E12407" w:rsidRDefault="00E12407" w:rsidP="00E12407">
      <w:pPr>
        <w:pStyle w:val="PargrafodaLista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Processo 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142-146)</w:t>
      </w:r>
    </w:p>
    <w:p w:rsidR="00E12407" w:rsidRDefault="00E12407" w:rsidP="00E1240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roadmapping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deve ser pensado como uma estrutura organizacional sistêmica simples para permitir a “captura, exploração, análise, síntese e exposição de assuntos estratégicos associados ao processo corporativo”. De acordo com Garcia 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Bray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(1997), o processo de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roadmapping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desenvolvido pela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Sandia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National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Laboratories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nos EUA se divide em três fases amplas:</w:t>
      </w:r>
    </w:p>
    <w:p w:rsidR="00E12407" w:rsidRDefault="00E12407" w:rsidP="00E1240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Atividade preliminar</w:t>
      </w:r>
    </w:p>
    <w:p w:rsidR="00E12407" w:rsidRDefault="00E12407" w:rsidP="00E1240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Desenvolvimento do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</w:p>
    <w:p w:rsidR="00E12407" w:rsidRPr="00544A30" w:rsidRDefault="00E12407" w:rsidP="00E1240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Atividade de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follow-up</w:t>
      </w:r>
    </w:p>
    <w:p w:rsidR="00E12407" w:rsidRDefault="00E12407" w:rsidP="00E1240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As atividades preliminares consistem em três etapas principais: Os fatores que podem levar o processo de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roadmapping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ter êxito, principalmente o desenvolvimento de uma percepção da necessidade de colaboração intersetorial, e portanto, a participação integrada dos diferentes atores que compõem o processo; compromisso de líderes e/ou patrocinadores para tomar as decisões chave, e da equipe para implementar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; O contexto do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precisa ser entendido, incluindo a elaboração de uma visão para a organização, os objetivos da iniciativa, abrangência e limites, nível de detalhes exigidos e períodos de tempo.</w:t>
      </w:r>
    </w:p>
    <w:p w:rsidR="00E12407" w:rsidRPr="0016380B" w:rsidRDefault="00E12407" w:rsidP="00E1240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O Desenvolvimento do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por sua vez, possui sete principais tarefas a serem alcançadas: as necessidades e o foco do produto devem ser definidos de acordo com os objetivos do cliente; requisições quanto às funções e performance do produto devem ser definidos em metas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time-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; as áreas de tecnologia necessárias para a questão anterior devem ser especificadas; as necessidades e os objetivos do produto devem se traduzir em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drivers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tecnológicos para avaliar os benefícios desta de forma a se diferenciar de outras opções existentes; alternativas tecnológicas, com potencial de responder aos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drivers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atingir os objetivos, precisam ser identificadas; as tecnologias mais atrativas devem ser selecionadas, de modo a atingir os objetivos determinados; a informação gerada pelos pontos anteriores devem ser conformadas em relatórios, </w:t>
      </w:r>
      <w:r w:rsidRPr="0016380B">
        <w:rPr>
          <w:rFonts w:ascii="Times New Roman" w:hAnsi="Times New Roman" w:cs="Times New Roman"/>
          <w:sz w:val="24"/>
          <w:szCs w:val="24"/>
          <w:lang w:val="pt-BR"/>
        </w:rPr>
        <w:t xml:space="preserve">incluindo </w:t>
      </w:r>
      <w:r w:rsidRPr="0016380B"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 w:rsidRPr="0016380B">
        <w:rPr>
          <w:rFonts w:ascii="Times New Roman" w:hAnsi="Times New Roman" w:cs="Times New Roman"/>
          <w:sz w:val="24"/>
          <w:szCs w:val="24"/>
          <w:lang w:val="pt-BR"/>
        </w:rPr>
        <w:t xml:space="preserve"> gráficos, descrição de cada tecnologia e seu status atual, principais riscos e limitações, </w:t>
      </w:r>
      <w:r w:rsidRPr="0016380B">
        <w:rPr>
          <w:rFonts w:ascii="Times New Roman" w:hAnsi="Times New Roman" w:cs="Times New Roman"/>
          <w:i/>
          <w:sz w:val="24"/>
          <w:szCs w:val="24"/>
          <w:lang w:val="pt-BR"/>
        </w:rPr>
        <w:t xml:space="preserve">gaps </w:t>
      </w:r>
      <w:r w:rsidRPr="0016380B">
        <w:rPr>
          <w:rFonts w:ascii="Times New Roman" w:hAnsi="Times New Roman" w:cs="Times New Roman"/>
          <w:sz w:val="24"/>
          <w:szCs w:val="24"/>
          <w:lang w:val="pt-BR"/>
        </w:rPr>
        <w:t xml:space="preserve">recomendações de implementação. </w:t>
      </w:r>
    </w:p>
    <w:p w:rsidR="00E12407" w:rsidRDefault="00E12407" w:rsidP="00E1240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4407E">
        <w:rPr>
          <w:rFonts w:ascii="Times New Roman" w:hAnsi="Times New Roman" w:cs="Times New Roman"/>
          <w:sz w:val="24"/>
          <w:szCs w:val="24"/>
          <w:lang w:val="pt-BR"/>
        </w:rPr>
        <w:t xml:space="preserve">Já as medidas de </w:t>
      </w:r>
      <w:r w:rsidRPr="0004407E">
        <w:rPr>
          <w:rFonts w:ascii="Times New Roman" w:hAnsi="Times New Roman" w:cs="Times New Roman"/>
          <w:i/>
          <w:sz w:val="24"/>
          <w:szCs w:val="24"/>
          <w:lang w:val="pt-BR"/>
        </w:rPr>
        <w:t>follow-up</w:t>
      </w:r>
      <w:r w:rsidRPr="0004407E">
        <w:rPr>
          <w:rFonts w:ascii="Times New Roman" w:hAnsi="Times New Roman" w:cs="Times New Roman"/>
          <w:i/>
          <w:sz w:val="24"/>
          <w:szCs w:val="24"/>
          <w:lang w:val="pt-BR"/>
        </w:rPr>
        <w:softHyphen/>
        <w:t xml:space="preserve"> </w:t>
      </w:r>
      <w:r w:rsidRPr="0004407E">
        <w:rPr>
          <w:rFonts w:ascii="Times New Roman" w:hAnsi="Times New Roman" w:cs="Times New Roman"/>
          <w:sz w:val="24"/>
          <w:szCs w:val="24"/>
          <w:lang w:val="pt-BR"/>
        </w:rPr>
        <w:t xml:space="preserve">se resumem em três pontos: Precisa-se validar o </w:t>
      </w:r>
      <w:r w:rsidRPr="0004407E"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 w:rsidRPr="0004407E">
        <w:rPr>
          <w:rFonts w:ascii="Times New Roman" w:hAnsi="Times New Roman" w:cs="Times New Roman"/>
          <w:sz w:val="24"/>
          <w:szCs w:val="24"/>
          <w:lang w:val="pt-BR"/>
        </w:rPr>
        <w:t>, de forma a deixá-lo mais preciso; desenvolver um 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lano de implementação; revisar e atualizar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para que ele reflita mudanças de tecnologia e das circunstâncias de implementação.</w:t>
      </w:r>
    </w:p>
    <w:p w:rsidR="00E12407" w:rsidRDefault="00E12407" w:rsidP="00E1240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Os autores, então, exibem uma imagem do processo estratégico de inovação de EIRMA (1997) para demonstrar que o método de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ainda que mostrada como uma etapa única, pode ser utilizada de forma holística, o que demonstra a flexibilidade deste, seja em termos de escopo, tempo de aplicação, design etc. No entanto, certos aspectos precisam ser considerados para a aplicação ótima do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como o contexto de planejamento, ou seja, definir a natureza da necessidade de se utilizar do método; a arquitetura do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levando-se em conta fatores como o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know-why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know-what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, know-how,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know-when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para construir uma estrutura coesa que possa conversar com os diversos setores envolvidos no processo; e, por fim, o processo, que engloba todas as atividades necessárias para se construir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mantê-lo funcionando de forma eficaz. Destaca-se a importância dos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workshops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principalmente no começo do processo, pelo qual os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stakeholders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envolvidos podem se reunir para compartilhar do seus conhecimentos e experiência.</w:t>
      </w:r>
    </w:p>
    <w:p w:rsidR="00E12407" w:rsidRPr="00A25E93" w:rsidRDefault="00E12407" w:rsidP="00E1240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Figura 2: Amostra de um processo estratégico de inovação.</w:t>
      </w:r>
    </w:p>
    <w:p w:rsidR="00E12407" w:rsidRDefault="00E12407" w:rsidP="00E1240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5E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0EF5AB" wp14:editId="43F384DA">
            <wp:extent cx="5400040" cy="25050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451" b="3725"/>
                    <a:stretch/>
                  </pic:blipFill>
                  <pic:spPr bwMode="auto">
                    <a:xfrm>
                      <a:off x="0" y="0"/>
                      <a:ext cx="5400040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407" w:rsidRDefault="00E12407" w:rsidP="00E12407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Fonte: EIRMA, 1997.</w:t>
      </w:r>
    </w:p>
    <w:p w:rsidR="00E12407" w:rsidRDefault="00E12407" w:rsidP="00E12407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lastRenderedPageBreak/>
        <w:t>Figura 3: Atividades de workshop comuns.</w:t>
      </w:r>
    </w:p>
    <w:p w:rsidR="00E12407" w:rsidRDefault="00E12407" w:rsidP="00E12407">
      <w:pPr>
        <w:ind w:left="1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E73F3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03C6FF7" wp14:editId="59A04F97">
            <wp:extent cx="5400040" cy="138303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pt-BR"/>
        </w:rPr>
        <w:t>Fonte: CETINDAMAR; PHAAL; PROBERT, 2016.</w:t>
      </w:r>
    </w:p>
    <w:p w:rsidR="00E12407" w:rsidRPr="00A25E93" w:rsidRDefault="00E12407" w:rsidP="00E12407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:rsidR="00E12407" w:rsidRDefault="00E12407" w:rsidP="00E12407">
      <w:pPr>
        <w:ind w:left="5" w:firstLine="34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Apesar de todas as vantagens do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o processo de construção deste pode ser desafiador pela ampla gama de aplicações, incertezas sobre o futuro e possíveis falhas de obtenção das informações a dar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start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no processo. Portanto, para que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seja bem-sucedido, é importante ter em mente uma necessidade clara de negócio, ter o compromisso das instâncias de gestão superiores, planejar com cuidado e modificar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para se adequar às circunstâncias, planejar os processos em etapas de forma que os benefícios possam ser logo enxergados, assegurar-se de que as pessoas mais capacitadas então em suas respectivas funções, ligar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 outros processos e ferramentas,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fornecer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recursos e suporte adequados, manter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simples, e aprender com tal experiência.</w:t>
      </w:r>
    </w:p>
    <w:p w:rsidR="00E12407" w:rsidRDefault="00E12407" w:rsidP="00E12407">
      <w:pPr>
        <w:pStyle w:val="PargrafodaLista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Aplicando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tecnologias emergentes 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146-148)</w:t>
      </w:r>
    </w:p>
    <w:p w:rsidR="00E12407" w:rsidRDefault="00E12407" w:rsidP="00E1240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De acordo com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Dissel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et al. (2009) ao se avaliar o potencial de uma tecnologia em estágios iniciais de desenvolvimento,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roadmapping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valor pode ser utilizado como uma abordagem que oferece uma estrutura adequada para auxiliar na avaliação e valoração tecnológicas desta. O método também pode auxiliar nas decisões de investimento em tecnologia em um determinado negócio quando atingir um maior grau de maturidade, o que demonstra que tal abordagem provê uma estrutura consistente para ligar perspectivas tanto tecnológicas quanto comerciais durante o ciclo de vida da tecnologia. </w:t>
      </w:r>
    </w:p>
    <w:p w:rsidR="00E12407" w:rsidRDefault="00E12407" w:rsidP="00E1240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valor se dá geralmente por um ou vários workshops envolvendo as partes comercial e tecnológica do processo, seguindo-se oito estágios:</w:t>
      </w:r>
    </w:p>
    <w:p w:rsidR="00E12407" w:rsidRDefault="00E12407" w:rsidP="00E1240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Definição estratégica da estrutura, visão e cenários que governam a exploração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exploitation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) tecnológica;</w:t>
      </w:r>
    </w:p>
    <w:p w:rsidR="00E12407" w:rsidRDefault="00E12407" w:rsidP="00E1240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Desenvolvimento do mapa de tecnologia e das perspectivas de investimento, levando-se em conta as capacidades técnicas a ser atingidas, assim como qualquer conhecimento sobre tecnologias competidoras ou complementares (resultando no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layer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technology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na arquitetura do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>
        <w:rPr>
          <w:rFonts w:ascii="Times New Roman" w:hAnsi="Times New Roman" w:cs="Times New Roman"/>
          <w:sz w:val="24"/>
          <w:szCs w:val="24"/>
          <w:lang w:val="pt-BR"/>
        </w:rPr>
        <w:t>);</w:t>
      </w:r>
    </w:p>
    <w:p w:rsidR="00E12407" w:rsidRDefault="00E12407" w:rsidP="00E1240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Definição dos fluxos de valor, que se utilizam da etapa anterior para que o potencial valor gerado pelo investimento em tecnologia seja explorado, identificando fontes específicas de futuros lucros, articulados da forma mais clara possível;</w:t>
      </w:r>
    </w:p>
    <w:p w:rsidR="00E12407" w:rsidRDefault="00E12407" w:rsidP="00E1240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Mapeamento de mercados, tendências e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drivers </w:t>
      </w:r>
      <w:r>
        <w:rPr>
          <w:rFonts w:ascii="Times New Roman" w:hAnsi="Times New Roman" w:cs="Times New Roman"/>
          <w:sz w:val="24"/>
          <w:szCs w:val="24"/>
          <w:lang w:val="pt-BR"/>
        </w:rPr>
        <w:t>de negócios, que influenciam a priorização de oportunidades de valor, sejam eles sociais, econômicos, ambientais, políticos ou tecnológico;</w:t>
      </w:r>
    </w:p>
    <w:p w:rsidR="00E12407" w:rsidRDefault="00E12407" w:rsidP="00E1240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Mapeamento de barreiras e facilitadores, englobando fatores técnicos ou não técnicos, associados ao desenvolvimento e a exploração (</w:t>
      </w:r>
      <w:proofErr w:type="spellStart"/>
      <w:r w:rsidRPr="00604281">
        <w:rPr>
          <w:rFonts w:ascii="Times New Roman" w:hAnsi="Times New Roman" w:cs="Times New Roman"/>
          <w:i/>
          <w:sz w:val="24"/>
          <w:szCs w:val="24"/>
          <w:lang w:val="pt-BR"/>
        </w:rPr>
        <w:t>exploitation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) da tecnologia;</w:t>
      </w:r>
    </w:p>
    <w:p w:rsidR="00E12407" w:rsidRDefault="00E12407" w:rsidP="00E1240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A revisão do plano de projeto e do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valor, onde o projeto de desenvolvimento tecnológico é confrontando com os resultados do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utilizando de técnicas como o ROI ou SWOT da firma. Esta etapa pode se dar tanto como parte do workshop ou após pelo contratante;</w:t>
      </w:r>
    </w:p>
    <w:p w:rsidR="00E12407" w:rsidRDefault="00E12407" w:rsidP="00E1240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Projetos de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roadmapping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valor complexos podem ser densos e apresentar alguns problemas de dados. Para resolver esses problemas,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roadmaps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adicionais devem ser confeccionados de modo a facilitar a comunicação com diferentes setores, como por exemplo os “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elevator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pitch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roadmaps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”, para condensar as informações;</w:t>
      </w:r>
    </w:p>
    <w:p w:rsidR="00E12407" w:rsidRDefault="00E12407" w:rsidP="00E1240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Manter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roadmap </w:t>
      </w:r>
      <w:r>
        <w:rPr>
          <w:rFonts w:ascii="Times New Roman" w:hAnsi="Times New Roman" w:cs="Times New Roman"/>
          <w:sz w:val="24"/>
          <w:szCs w:val="24"/>
          <w:lang w:val="pt-BR"/>
        </w:rPr>
        <w:t>de valor como um processo perene, inserido na filosofia do negócio, seja para a gerência, desenvolvimento de produtos, gestão de pesquisas etc.</w:t>
      </w:r>
    </w:p>
    <w:p w:rsidR="00E12407" w:rsidRPr="00E4788F" w:rsidRDefault="00E12407" w:rsidP="00E12407">
      <w:pPr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12407" w:rsidRDefault="00E12407" w:rsidP="00E1240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ESTUDO DE CASO 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148-149)</w:t>
      </w:r>
    </w:p>
    <w:p w:rsidR="00E12407" w:rsidRPr="00E4788F" w:rsidRDefault="00E12407" w:rsidP="00E1240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Os autores relatam neste tópico o sucesso da empresa </w:t>
      </w:r>
      <w:r w:rsidRPr="00E4788F">
        <w:rPr>
          <w:rFonts w:ascii="Times New Roman" w:hAnsi="Times New Roman" w:cs="Times New Roman"/>
          <w:sz w:val="24"/>
          <w:szCs w:val="24"/>
          <w:lang w:val="pt-BR"/>
        </w:rPr>
        <w:t>Lucent Technologies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aplicar o processo de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para o desenvolvimento de novos produtos. A Figura 4 demonstra um exemplo do método, por onde uma série de templates são estruturados de forma a assegurar que as principais informações sejam capturadas e sumarizadas. Figura 5 mostra o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roadmap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produto (etapa 2) com suas fases chave discriminadas. </w:t>
      </w:r>
    </w:p>
    <w:p w:rsidR="00E12407" w:rsidRPr="00E4788F" w:rsidRDefault="00E12407" w:rsidP="00E12407">
      <w:pPr>
        <w:ind w:left="36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Figura 4: Processo de </w:t>
      </w:r>
      <w:r>
        <w:rPr>
          <w:rFonts w:ascii="Times New Roman" w:hAnsi="Times New Roman" w:cs="Times New Roman"/>
          <w:i/>
          <w:sz w:val="20"/>
          <w:szCs w:val="20"/>
          <w:lang w:val="pt-BR"/>
        </w:rPr>
        <w:t xml:space="preserve">roadmapping </w:t>
      </w:r>
      <w:r>
        <w:rPr>
          <w:rFonts w:ascii="Times New Roman" w:hAnsi="Times New Roman" w:cs="Times New Roman"/>
          <w:sz w:val="20"/>
          <w:szCs w:val="20"/>
          <w:lang w:val="pt-BR"/>
        </w:rPr>
        <w:t>da Lucent Technologies.</w:t>
      </w:r>
    </w:p>
    <w:p w:rsidR="00E12407" w:rsidRPr="00E4788F" w:rsidRDefault="00E12407" w:rsidP="00E12407">
      <w:pPr>
        <w:ind w:left="36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E478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1A2D3E" wp14:editId="6546981C">
            <wp:extent cx="5400040" cy="3161489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3291" cy="316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788F">
        <w:rPr>
          <w:rFonts w:ascii="Times New Roman" w:hAnsi="Times New Roman" w:cs="Times New Roman"/>
          <w:sz w:val="20"/>
          <w:szCs w:val="20"/>
          <w:lang w:val="pt-BR"/>
        </w:rPr>
        <w:t>Fonte: ALBRIGHT; KAPPEL, 2003.</w:t>
      </w:r>
    </w:p>
    <w:p w:rsidR="00E12407" w:rsidRPr="0004407E" w:rsidRDefault="00E12407" w:rsidP="00E1240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12407" w:rsidRPr="00E4788F" w:rsidRDefault="00E12407" w:rsidP="00E12407">
      <w:pPr>
        <w:ind w:left="36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Figura 5: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pt-BR"/>
        </w:rPr>
        <w:t>Roadmaps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t-BR"/>
        </w:rPr>
        <w:t>de produto da Lucent Technologies.</w:t>
      </w:r>
      <w:r w:rsidRPr="00E478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465C49" wp14:editId="064F4EDD">
            <wp:extent cx="5400040" cy="246507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788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4788F">
        <w:rPr>
          <w:rFonts w:ascii="Times New Roman" w:hAnsi="Times New Roman" w:cs="Times New Roman"/>
          <w:sz w:val="20"/>
          <w:szCs w:val="20"/>
          <w:lang w:val="pt-BR"/>
        </w:rPr>
        <w:t>Fonte: ALBRIGHT; KAPPEL, 2003.</w:t>
      </w:r>
    </w:p>
    <w:p w:rsidR="00E12407" w:rsidRDefault="00E12407" w:rsidP="00E1240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experiência da Lucent Technologies destaca cinco grandes benefícios do processo, focando-se no desenvolvimento do pensamento em equipe como o principal em cada etapa:</w:t>
      </w:r>
    </w:p>
    <w:p w:rsidR="00E12407" w:rsidRDefault="00E12407" w:rsidP="00E12407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Link, antes inexistente, entre a estratégia e os planos do produto ou da tecnologia;</w:t>
      </w:r>
    </w:p>
    <w:p w:rsidR="00E12407" w:rsidRDefault="00E12407" w:rsidP="00E12407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possibilidade de desenvolver planos tecnológicos “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corporate-level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”;</w:t>
      </w:r>
    </w:p>
    <w:p w:rsidR="00E12407" w:rsidRDefault="00E12407" w:rsidP="00E12407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Foco no planejamento a longo prazo ao estender o horizonte de planejamento para além dos períodos de tempo estratégicos;</w:t>
      </w:r>
    </w:p>
    <w:p w:rsidR="00E12407" w:rsidRDefault="00E12407" w:rsidP="00E12407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Melhoria da comunicação e da propriedade de planos através do desenvolvimento em conjunto de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roadmaps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integrados e alinhados;</w:t>
      </w:r>
    </w:p>
    <w:p w:rsidR="00E12407" w:rsidRDefault="00E12407" w:rsidP="00E12407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Foco no planejamento dos tópicos de maior prioridade pelo uso de representações visuais estruturadas de vários componentes do planejamento estratégico.</w:t>
      </w:r>
    </w:p>
    <w:p w:rsidR="00E12407" w:rsidRPr="00753FD0" w:rsidRDefault="00E12407" w:rsidP="00E12407">
      <w:pPr>
        <w:ind w:left="42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12407" w:rsidRDefault="00E12407" w:rsidP="00E1240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CONSIDERAÇÕES FINAIS</w:t>
      </w:r>
    </w:p>
    <w:p w:rsidR="00E12407" w:rsidRPr="00753FD0" w:rsidRDefault="00E12407" w:rsidP="00E1240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texto em questão se propõe a discutir conceitos básicos que envolvem o processo de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roadmapping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portanto, consegue ser competente ao demonstrar com clareza as nuances deste método e a melhor maneira de aplicá-lo. O capítulo apenas carece de demonstrações um pouco mais aprofundadas sobre diferentes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roadmaps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uma vez que os autores apenas os citam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em passant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e também de discutir melhor a ideia do processo de maturação de ideias se comportar como um funil e não como um filtro, tal como expostos pelo Prof. Dr.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Rozenfeld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em aula.</w:t>
      </w:r>
    </w:p>
    <w:p w:rsidR="00C85A7D" w:rsidRPr="00E12407" w:rsidRDefault="00C85A7D">
      <w:pPr>
        <w:rPr>
          <w:lang w:val="pt-BR"/>
        </w:rPr>
      </w:pPr>
    </w:p>
    <w:sectPr w:rsidR="00C85A7D" w:rsidRPr="00E12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150A"/>
    <w:multiLevelType w:val="multilevel"/>
    <w:tmpl w:val="2278A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875240"/>
    <w:multiLevelType w:val="hybridMultilevel"/>
    <w:tmpl w:val="50E2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4C0A"/>
    <w:multiLevelType w:val="hybridMultilevel"/>
    <w:tmpl w:val="DE261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095C19"/>
    <w:multiLevelType w:val="hybridMultilevel"/>
    <w:tmpl w:val="EE50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93C9A"/>
    <w:multiLevelType w:val="hybridMultilevel"/>
    <w:tmpl w:val="1AFC97A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07"/>
    <w:rsid w:val="004D1E87"/>
    <w:rsid w:val="00C85A7D"/>
    <w:rsid w:val="00D129C6"/>
    <w:rsid w:val="00E1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2ECE"/>
  <w15:chartTrackingRefBased/>
  <w15:docId w15:val="{F2991148-458A-4A5D-ADDC-23A2525D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07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Borges</dc:creator>
  <cp:keywords/>
  <dc:description/>
  <cp:lastModifiedBy>Diego Borges</cp:lastModifiedBy>
  <cp:revision>2</cp:revision>
  <dcterms:created xsi:type="dcterms:W3CDTF">2020-08-24T10:38:00Z</dcterms:created>
  <dcterms:modified xsi:type="dcterms:W3CDTF">2020-08-24T10:38:00Z</dcterms:modified>
</cp:coreProperties>
</file>