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E7" w:rsidRPr="00353FE7" w:rsidRDefault="00353FE7" w:rsidP="00353FE7">
      <w:pPr>
        <w:shd w:val="clear" w:color="auto" w:fill="FFFFFF"/>
        <w:spacing w:after="0" w:line="240" w:lineRule="auto"/>
        <w:ind w:right="300"/>
        <w:textAlignment w:val="baseline"/>
        <w:outlineLvl w:val="0"/>
        <w:rPr>
          <w:rFonts w:eastAsia="Times New Roman" w:cs="Helvetica"/>
          <w:b/>
          <w:bCs/>
          <w:color w:val="333333"/>
          <w:kern w:val="36"/>
          <w:sz w:val="24"/>
          <w:szCs w:val="24"/>
          <w:lang w:val="en-US" w:eastAsia="pt-BR"/>
        </w:rPr>
      </w:pPr>
      <w:bookmarkStart w:id="0" w:name="_GoBack"/>
      <w:r w:rsidRPr="00353FE7">
        <w:rPr>
          <w:rFonts w:eastAsia="Times New Roman" w:cs="Helvetica"/>
          <w:b/>
          <w:bCs/>
          <w:color w:val="333333"/>
          <w:kern w:val="36"/>
          <w:sz w:val="24"/>
          <w:szCs w:val="24"/>
          <w:bdr w:val="none" w:sz="0" w:space="0" w:color="auto" w:frame="1"/>
          <w:lang w:val="en-US" w:eastAsia="pt-BR"/>
        </w:rPr>
        <w:t xml:space="preserve">Transfusion of Plasma, Platelets, and Red Blood Cells in a 1:1:1 vs a 1:1:2 Ratio and Mortality in Patients </w:t>
      </w:r>
      <w:proofErr w:type="gramStart"/>
      <w:r w:rsidRPr="00353FE7">
        <w:rPr>
          <w:rFonts w:eastAsia="Times New Roman" w:cs="Helvetica"/>
          <w:b/>
          <w:bCs/>
          <w:color w:val="333333"/>
          <w:kern w:val="36"/>
          <w:sz w:val="24"/>
          <w:szCs w:val="24"/>
          <w:bdr w:val="none" w:sz="0" w:space="0" w:color="auto" w:frame="1"/>
          <w:lang w:val="en-US" w:eastAsia="pt-BR"/>
        </w:rPr>
        <w:t>With</w:t>
      </w:r>
      <w:proofErr w:type="gramEnd"/>
      <w:r w:rsidRPr="00353FE7">
        <w:rPr>
          <w:rFonts w:eastAsia="Times New Roman" w:cs="Helvetica"/>
          <w:b/>
          <w:bCs/>
          <w:color w:val="333333"/>
          <w:kern w:val="36"/>
          <w:sz w:val="24"/>
          <w:szCs w:val="24"/>
          <w:bdr w:val="none" w:sz="0" w:space="0" w:color="auto" w:frame="1"/>
          <w:lang w:val="en-US" w:eastAsia="pt-BR"/>
        </w:rPr>
        <w:t xml:space="preserve"> Severe </w:t>
      </w:r>
      <w:proofErr w:type="spellStart"/>
      <w:r w:rsidRPr="00353FE7">
        <w:rPr>
          <w:rFonts w:eastAsia="Times New Roman" w:cs="Helvetica"/>
          <w:b/>
          <w:bCs/>
          <w:color w:val="333333"/>
          <w:kern w:val="36"/>
          <w:sz w:val="24"/>
          <w:szCs w:val="24"/>
          <w:bdr w:val="none" w:sz="0" w:space="0" w:color="auto" w:frame="1"/>
          <w:lang w:val="en-US" w:eastAsia="pt-BR"/>
        </w:rPr>
        <w:t>TraumaThe</w:t>
      </w:r>
      <w:proofErr w:type="spellEnd"/>
      <w:r w:rsidRPr="00353FE7">
        <w:rPr>
          <w:rFonts w:eastAsia="Times New Roman" w:cs="Helvetica"/>
          <w:b/>
          <w:bCs/>
          <w:color w:val="333333"/>
          <w:kern w:val="36"/>
          <w:sz w:val="24"/>
          <w:szCs w:val="24"/>
          <w:bdr w:val="none" w:sz="0" w:space="0" w:color="auto" w:frame="1"/>
          <w:lang w:val="en-US" w:eastAsia="pt-BR"/>
        </w:rPr>
        <w:t xml:space="preserve"> PROPPR Randomized Clinical Trial</w:t>
      </w:r>
    </w:p>
    <w:bookmarkEnd w:id="0"/>
    <w:p w:rsidR="00353FE7" w:rsidRDefault="00353FE7" w:rsidP="00353FE7">
      <w:pPr>
        <w:shd w:val="clear" w:color="auto" w:fill="FFFFFF"/>
        <w:spacing w:after="0" w:line="240" w:lineRule="auto"/>
        <w:textAlignment w:val="baseline"/>
        <w:rPr>
          <w:rFonts w:eastAsia="Times New Roman" w:cs="Helvetica"/>
          <w:b/>
          <w:bCs/>
          <w:color w:val="333333"/>
          <w:sz w:val="21"/>
          <w:szCs w:val="21"/>
          <w:bdr w:val="none" w:sz="0" w:space="0" w:color="auto" w:frame="1"/>
          <w:lang w:val="en-US" w:eastAsia="pt-BR"/>
        </w:rPr>
      </w:pPr>
    </w:p>
    <w:p w:rsidR="00353FE7" w:rsidRPr="00353FE7" w:rsidRDefault="00353FE7" w:rsidP="00353FE7">
      <w:pPr>
        <w:shd w:val="clear" w:color="auto" w:fill="FFFFFF"/>
        <w:spacing w:after="0" w:line="240" w:lineRule="auto"/>
        <w:textAlignment w:val="baseline"/>
        <w:rPr>
          <w:rFonts w:eastAsia="Times New Roman" w:cs="Helvetica"/>
          <w:color w:val="333333"/>
          <w:bdr w:val="none" w:sz="0" w:space="0" w:color="auto" w:frame="1"/>
          <w:lang w:val="en-US" w:eastAsia="pt-BR"/>
        </w:rPr>
      </w:pPr>
      <w:r w:rsidRPr="00353FE7">
        <w:rPr>
          <w:rFonts w:eastAsia="Times New Roman" w:cs="Helvetica"/>
          <w:b/>
          <w:bCs/>
          <w:color w:val="333333"/>
          <w:bdr w:val="none" w:sz="0" w:space="0" w:color="auto" w:frame="1"/>
          <w:lang w:val="en-US" w:eastAsia="pt-BR"/>
        </w:rPr>
        <w:t>Importance</w:t>
      </w:r>
      <w:proofErr w:type="gramStart"/>
      <w:r w:rsidRPr="00353FE7">
        <w:rPr>
          <w:rFonts w:eastAsia="Times New Roman" w:cs="Helvetica"/>
          <w:color w:val="333333"/>
          <w:bdr w:val="none" w:sz="0" w:space="0" w:color="auto" w:frame="1"/>
          <w:lang w:val="en-US" w:eastAsia="pt-BR"/>
        </w:rPr>
        <w:t>  Severely</w:t>
      </w:r>
      <w:proofErr w:type="gramEnd"/>
      <w:r w:rsidRPr="00353FE7">
        <w:rPr>
          <w:rFonts w:eastAsia="Times New Roman" w:cs="Helvetica"/>
          <w:color w:val="333333"/>
          <w:bdr w:val="none" w:sz="0" w:space="0" w:color="auto" w:frame="1"/>
          <w:lang w:val="en-US" w:eastAsia="pt-BR"/>
        </w:rPr>
        <w:t xml:space="preserve"> injured patients experiencing hemorrhagic shock often require massive transfusion. Earlier transfusion with higher blood product ratios (plasma, platelets, and red blood cells), defined as damage control resuscitation, has been associated with improved outcomes; however, there have been no large multicenter clinical trials.</w:t>
      </w:r>
    </w:p>
    <w:p w:rsidR="00353FE7" w:rsidRPr="00353FE7" w:rsidRDefault="00353FE7" w:rsidP="00353FE7">
      <w:pPr>
        <w:shd w:val="clear" w:color="auto" w:fill="FFFFFF"/>
        <w:spacing w:after="0" w:line="240" w:lineRule="auto"/>
        <w:textAlignment w:val="baseline"/>
        <w:rPr>
          <w:rFonts w:eastAsia="Times New Roman" w:cs="Helvetica"/>
          <w:b/>
          <w:bCs/>
          <w:color w:val="333333"/>
          <w:bdr w:val="none" w:sz="0" w:space="0" w:color="auto" w:frame="1"/>
          <w:lang w:val="en-US" w:eastAsia="pt-BR"/>
        </w:rPr>
      </w:pPr>
    </w:p>
    <w:p w:rsidR="00353FE7" w:rsidRPr="00353FE7" w:rsidRDefault="00353FE7" w:rsidP="00353FE7">
      <w:pPr>
        <w:shd w:val="clear" w:color="auto" w:fill="FFFFFF"/>
        <w:spacing w:after="0" w:line="240" w:lineRule="auto"/>
        <w:textAlignment w:val="baseline"/>
        <w:rPr>
          <w:rFonts w:eastAsia="Times New Roman" w:cs="Helvetica"/>
          <w:color w:val="333333"/>
          <w:bdr w:val="none" w:sz="0" w:space="0" w:color="auto" w:frame="1"/>
          <w:lang w:val="en-US" w:eastAsia="pt-BR"/>
        </w:rPr>
      </w:pPr>
      <w:r w:rsidRPr="00353FE7">
        <w:rPr>
          <w:rFonts w:eastAsia="Times New Roman" w:cs="Helvetica"/>
          <w:b/>
          <w:bCs/>
          <w:color w:val="333333"/>
          <w:bdr w:val="none" w:sz="0" w:space="0" w:color="auto" w:frame="1"/>
          <w:lang w:val="en-US" w:eastAsia="pt-BR"/>
        </w:rPr>
        <w:t>Objective</w:t>
      </w:r>
      <w:proofErr w:type="gramStart"/>
      <w:r w:rsidRPr="00353FE7">
        <w:rPr>
          <w:rFonts w:eastAsia="Times New Roman" w:cs="Helvetica"/>
          <w:color w:val="333333"/>
          <w:bdr w:val="none" w:sz="0" w:space="0" w:color="auto" w:frame="1"/>
          <w:lang w:val="en-US" w:eastAsia="pt-BR"/>
        </w:rPr>
        <w:t>  To</w:t>
      </w:r>
      <w:proofErr w:type="gramEnd"/>
      <w:r w:rsidRPr="00353FE7">
        <w:rPr>
          <w:rFonts w:eastAsia="Times New Roman" w:cs="Helvetica"/>
          <w:color w:val="333333"/>
          <w:bdr w:val="none" w:sz="0" w:space="0" w:color="auto" w:frame="1"/>
          <w:lang w:val="en-US" w:eastAsia="pt-BR"/>
        </w:rPr>
        <w:t xml:space="preserve"> determine the effectiveness and safety of transfusing patients with severe trauma and major bleeding using plasma, platelets, and red blood cells in a 1:1:1 ratio compared with a 1:1:2 ratio.</w:t>
      </w:r>
    </w:p>
    <w:p w:rsidR="00353FE7" w:rsidRPr="00353FE7" w:rsidRDefault="00353FE7" w:rsidP="00353FE7">
      <w:pPr>
        <w:shd w:val="clear" w:color="auto" w:fill="FFFFFF"/>
        <w:spacing w:after="0" w:line="240" w:lineRule="auto"/>
        <w:textAlignment w:val="baseline"/>
        <w:rPr>
          <w:rFonts w:eastAsia="Times New Roman" w:cs="Helvetica"/>
          <w:b/>
          <w:bCs/>
          <w:color w:val="333333"/>
          <w:bdr w:val="none" w:sz="0" w:space="0" w:color="auto" w:frame="1"/>
          <w:lang w:val="en-US" w:eastAsia="pt-BR"/>
        </w:rPr>
      </w:pPr>
    </w:p>
    <w:p w:rsidR="00353FE7" w:rsidRPr="00353FE7" w:rsidRDefault="00353FE7" w:rsidP="00353FE7">
      <w:pPr>
        <w:shd w:val="clear" w:color="auto" w:fill="FFFFFF"/>
        <w:spacing w:after="0" w:line="240" w:lineRule="auto"/>
        <w:textAlignment w:val="baseline"/>
        <w:rPr>
          <w:rFonts w:eastAsia="Times New Roman" w:cs="Helvetica"/>
          <w:color w:val="333333"/>
          <w:bdr w:val="none" w:sz="0" w:space="0" w:color="auto" w:frame="1"/>
          <w:lang w:val="en-US" w:eastAsia="pt-BR"/>
        </w:rPr>
      </w:pPr>
      <w:r w:rsidRPr="00353FE7">
        <w:rPr>
          <w:rFonts w:eastAsia="Times New Roman" w:cs="Helvetica"/>
          <w:b/>
          <w:bCs/>
          <w:color w:val="333333"/>
          <w:bdr w:val="none" w:sz="0" w:space="0" w:color="auto" w:frame="1"/>
          <w:lang w:val="en-US" w:eastAsia="pt-BR"/>
        </w:rPr>
        <w:t>Design, Setting, and Participants</w:t>
      </w:r>
      <w:proofErr w:type="gramStart"/>
      <w:r w:rsidRPr="00353FE7">
        <w:rPr>
          <w:rFonts w:eastAsia="Times New Roman" w:cs="Helvetica"/>
          <w:color w:val="333333"/>
          <w:bdr w:val="none" w:sz="0" w:space="0" w:color="auto" w:frame="1"/>
          <w:lang w:val="en-US" w:eastAsia="pt-BR"/>
        </w:rPr>
        <w:t>  Pragmatic</w:t>
      </w:r>
      <w:proofErr w:type="gramEnd"/>
      <w:r w:rsidRPr="00353FE7">
        <w:rPr>
          <w:rFonts w:eastAsia="Times New Roman" w:cs="Helvetica"/>
          <w:color w:val="333333"/>
          <w:bdr w:val="none" w:sz="0" w:space="0" w:color="auto" w:frame="1"/>
          <w:lang w:val="en-US" w:eastAsia="pt-BR"/>
        </w:rPr>
        <w:t>, phase 3, multisite, randomized clinical trial of 680 severely injured patients who arrived at 1 of 12 level I trauma centers in North America directly from the scene and were predicted to require massive transfusion between August 2012 and December 2013.</w:t>
      </w:r>
    </w:p>
    <w:p w:rsidR="00353FE7" w:rsidRPr="00353FE7" w:rsidRDefault="00353FE7" w:rsidP="00353FE7">
      <w:pPr>
        <w:shd w:val="clear" w:color="auto" w:fill="FFFFFF"/>
        <w:spacing w:after="0" w:line="240" w:lineRule="auto"/>
        <w:textAlignment w:val="baseline"/>
        <w:rPr>
          <w:rFonts w:eastAsia="Times New Roman" w:cs="Helvetica"/>
          <w:b/>
          <w:bCs/>
          <w:color w:val="333333"/>
          <w:bdr w:val="none" w:sz="0" w:space="0" w:color="auto" w:frame="1"/>
          <w:lang w:val="en-US" w:eastAsia="pt-BR"/>
        </w:rPr>
      </w:pPr>
    </w:p>
    <w:p w:rsidR="00353FE7" w:rsidRPr="00353FE7" w:rsidRDefault="00353FE7" w:rsidP="00353FE7">
      <w:pPr>
        <w:shd w:val="clear" w:color="auto" w:fill="FFFFFF"/>
        <w:spacing w:after="0" w:line="240" w:lineRule="auto"/>
        <w:textAlignment w:val="baseline"/>
        <w:rPr>
          <w:rFonts w:eastAsia="Times New Roman" w:cs="Helvetica"/>
          <w:color w:val="333333"/>
          <w:bdr w:val="none" w:sz="0" w:space="0" w:color="auto" w:frame="1"/>
          <w:lang w:val="en-US" w:eastAsia="pt-BR"/>
        </w:rPr>
      </w:pPr>
      <w:r w:rsidRPr="00353FE7">
        <w:rPr>
          <w:rFonts w:eastAsia="Times New Roman" w:cs="Helvetica"/>
          <w:b/>
          <w:bCs/>
          <w:color w:val="333333"/>
          <w:bdr w:val="none" w:sz="0" w:space="0" w:color="auto" w:frame="1"/>
          <w:lang w:val="en-US" w:eastAsia="pt-BR"/>
        </w:rPr>
        <w:t>Interventions</w:t>
      </w:r>
      <w:proofErr w:type="gramStart"/>
      <w:r w:rsidRPr="00353FE7">
        <w:rPr>
          <w:rFonts w:eastAsia="Times New Roman" w:cs="Helvetica"/>
          <w:color w:val="333333"/>
          <w:bdr w:val="none" w:sz="0" w:space="0" w:color="auto" w:frame="1"/>
          <w:lang w:val="en-US" w:eastAsia="pt-BR"/>
        </w:rPr>
        <w:t>  Blood</w:t>
      </w:r>
      <w:proofErr w:type="gramEnd"/>
      <w:r w:rsidRPr="00353FE7">
        <w:rPr>
          <w:rFonts w:eastAsia="Times New Roman" w:cs="Helvetica"/>
          <w:color w:val="333333"/>
          <w:bdr w:val="none" w:sz="0" w:space="0" w:color="auto" w:frame="1"/>
          <w:lang w:val="en-US" w:eastAsia="pt-BR"/>
        </w:rPr>
        <w:t xml:space="preserve"> product ratios of 1:1:1 (338 patients) vs 1:1:2 (342 patients) during active resuscitation in addition to all local standard-of-care interventions (uncontrolled).</w:t>
      </w:r>
    </w:p>
    <w:p w:rsidR="00353FE7" w:rsidRPr="00353FE7" w:rsidRDefault="00353FE7" w:rsidP="00353FE7">
      <w:pPr>
        <w:shd w:val="clear" w:color="auto" w:fill="FFFFFF"/>
        <w:spacing w:after="0" w:line="240" w:lineRule="auto"/>
        <w:textAlignment w:val="baseline"/>
        <w:rPr>
          <w:rFonts w:eastAsia="Times New Roman" w:cs="Helvetica"/>
          <w:b/>
          <w:bCs/>
          <w:color w:val="333333"/>
          <w:bdr w:val="none" w:sz="0" w:space="0" w:color="auto" w:frame="1"/>
          <w:lang w:val="en-US" w:eastAsia="pt-BR"/>
        </w:rPr>
      </w:pPr>
    </w:p>
    <w:p w:rsidR="00353FE7" w:rsidRPr="00353FE7" w:rsidRDefault="00353FE7" w:rsidP="00353FE7">
      <w:pPr>
        <w:shd w:val="clear" w:color="auto" w:fill="FFFFFF"/>
        <w:spacing w:after="0" w:line="240" w:lineRule="auto"/>
        <w:textAlignment w:val="baseline"/>
        <w:rPr>
          <w:rFonts w:eastAsia="Times New Roman" w:cs="Helvetica"/>
          <w:color w:val="333333"/>
          <w:bdr w:val="none" w:sz="0" w:space="0" w:color="auto" w:frame="1"/>
          <w:lang w:val="en-US" w:eastAsia="pt-BR"/>
        </w:rPr>
      </w:pPr>
      <w:r w:rsidRPr="00353FE7">
        <w:rPr>
          <w:rFonts w:eastAsia="Times New Roman" w:cs="Helvetica"/>
          <w:b/>
          <w:bCs/>
          <w:color w:val="333333"/>
          <w:bdr w:val="none" w:sz="0" w:space="0" w:color="auto" w:frame="1"/>
          <w:lang w:val="en-US" w:eastAsia="pt-BR"/>
        </w:rPr>
        <w:t>Main Outcomes and Measures</w:t>
      </w:r>
      <w:proofErr w:type="gramStart"/>
      <w:r w:rsidRPr="00353FE7">
        <w:rPr>
          <w:rFonts w:eastAsia="Times New Roman" w:cs="Helvetica"/>
          <w:color w:val="333333"/>
          <w:bdr w:val="none" w:sz="0" w:space="0" w:color="auto" w:frame="1"/>
          <w:lang w:val="en-US" w:eastAsia="pt-BR"/>
        </w:rPr>
        <w:t>  Primary</w:t>
      </w:r>
      <w:proofErr w:type="gramEnd"/>
      <w:r w:rsidRPr="00353FE7">
        <w:rPr>
          <w:rFonts w:eastAsia="Times New Roman" w:cs="Helvetica"/>
          <w:color w:val="333333"/>
          <w:bdr w:val="none" w:sz="0" w:space="0" w:color="auto" w:frame="1"/>
          <w:lang w:val="en-US" w:eastAsia="pt-BR"/>
        </w:rPr>
        <w:t xml:space="preserve"> outcomes were 24-hour and 30-day all-cause mortality. </w:t>
      </w:r>
      <w:proofErr w:type="spellStart"/>
      <w:r w:rsidRPr="00353FE7">
        <w:rPr>
          <w:rFonts w:eastAsia="Times New Roman" w:cs="Helvetica"/>
          <w:color w:val="333333"/>
          <w:bdr w:val="none" w:sz="0" w:space="0" w:color="auto" w:frame="1"/>
          <w:lang w:val="en-US" w:eastAsia="pt-BR"/>
        </w:rPr>
        <w:t>Prespecified</w:t>
      </w:r>
      <w:proofErr w:type="spellEnd"/>
      <w:r w:rsidRPr="00353FE7">
        <w:rPr>
          <w:rFonts w:eastAsia="Times New Roman" w:cs="Helvetica"/>
          <w:color w:val="333333"/>
          <w:bdr w:val="none" w:sz="0" w:space="0" w:color="auto" w:frame="1"/>
          <w:lang w:val="en-US" w:eastAsia="pt-BR"/>
        </w:rPr>
        <w:t xml:space="preserve"> ancillary outcomes included time to hemostasis, blood product volumes transfused, complications, incidence of surgical procedures, and functional status.</w:t>
      </w:r>
    </w:p>
    <w:p w:rsidR="00353FE7" w:rsidRPr="00353FE7" w:rsidRDefault="00353FE7" w:rsidP="00353FE7">
      <w:pPr>
        <w:shd w:val="clear" w:color="auto" w:fill="FFFFFF"/>
        <w:spacing w:after="0" w:line="240" w:lineRule="auto"/>
        <w:textAlignment w:val="baseline"/>
        <w:rPr>
          <w:rFonts w:eastAsia="Times New Roman" w:cs="Helvetica"/>
          <w:b/>
          <w:bCs/>
          <w:color w:val="333333"/>
          <w:bdr w:val="none" w:sz="0" w:space="0" w:color="auto" w:frame="1"/>
          <w:lang w:val="en-US" w:eastAsia="pt-BR"/>
        </w:rPr>
      </w:pPr>
    </w:p>
    <w:p w:rsidR="00353FE7" w:rsidRPr="00353FE7" w:rsidRDefault="00353FE7" w:rsidP="00353FE7">
      <w:pPr>
        <w:shd w:val="clear" w:color="auto" w:fill="FFFFFF"/>
        <w:spacing w:after="0" w:line="240" w:lineRule="auto"/>
        <w:textAlignment w:val="baseline"/>
        <w:rPr>
          <w:rFonts w:eastAsia="Times New Roman" w:cs="Helvetica"/>
          <w:color w:val="333333"/>
          <w:bdr w:val="none" w:sz="0" w:space="0" w:color="auto" w:frame="1"/>
          <w:lang w:val="en-US" w:eastAsia="pt-BR"/>
        </w:rPr>
      </w:pPr>
      <w:r w:rsidRPr="00353FE7">
        <w:rPr>
          <w:rFonts w:eastAsia="Times New Roman" w:cs="Helvetica"/>
          <w:b/>
          <w:bCs/>
          <w:color w:val="333333"/>
          <w:bdr w:val="none" w:sz="0" w:space="0" w:color="auto" w:frame="1"/>
          <w:lang w:val="en-US" w:eastAsia="pt-BR"/>
        </w:rPr>
        <w:t>Results</w:t>
      </w:r>
      <w:proofErr w:type="gramStart"/>
      <w:r w:rsidRPr="00353FE7">
        <w:rPr>
          <w:rFonts w:eastAsia="Times New Roman" w:cs="Helvetica"/>
          <w:color w:val="333333"/>
          <w:bdr w:val="none" w:sz="0" w:space="0" w:color="auto" w:frame="1"/>
          <w:lang w:val="en-US" w:eastAsia="pt-BR"/>
        </w:rPr>
        <w:t>  No</w:t>
      </w:r>
      <w:proofErr w:type="gramEnd"/>
      <w:r w:rsidRPr="00353FE7">
        <w:rPr>
          <w:rFonts w:eastAsia="Times New Roman" w:cs="Helvetica"/>
          <w:color w:val="333333"/>
          <w:bdr w:val="none" w:sz="0" w:space="0" w:color="auto" w:frame="1"/>
          <w:lang w:val="en-US" w:eastAsia="pt-BR"/>
        </w:rPr>
        <w:t xml:space="preserve"> significant differences were detected in mortality at 24 hours (12.7% in 1:1:1 group vs 17.0% in 1:1:2 group; difference, −4.2% [95% CI, −9.6% to 1.1%]; </w:t>
      </w:r>
      <w:r w:rsidRPr="00353FE7">
        <w:rPr>
          <w:rFonts w:eastAsia="Times New Roman" w:cs="Helvetica"/>
          <w:i/>
          <w:iCs/>
          <w:color w:val="333333"/>
          <w:bdr w:val="none" w:sz="0" w:space="0" w:color="auto" w:frame="1"/>
          <w:lang w:val="en-US" w:eastAsia="pt-BR"/>
        </w:rPr>
        <w:t>P</w:t>
      </w:r>
      <w:r w:rsidRPr="00353FE7">
        <w:rPr>
          <w:rFonts w:eastAsia="Times New Roman" w:cs="Helvetica"/>
          <w:color w:val="333333"/>
          <w:bdr w:val="none" w:sz="0" w:space="0" w:color="auto" w:frame="1"/>
          <w:lang w:val="en-US" w:eastAsia="pt-BR"/>
        </w:rPr>
        <w:t> = .12) or at 30 days (22.4% vs 26.1%, respectively; difference, −3.7% [95% CI, −10.2% to 2.7%]; </w:t>
      </w:r>
      <w:r w:rsidRPr="00353FE7">
        <w:rPr>
          <w:rFonts w:eastAsia="Times New Roman" w:cs="Helvetica"/>
          <w:i/>
          <w:iCs/>
          <w:color w:val="333333"/>
          <w:bdr w:val="none" w:sz="0" w:space="0" w:color="auto" w:frame="1"/>
          <w:lang w:val="en-US" w:eastAsia="pt-BR"/>
        </w:rPr>
        <w:t>P</w:t>
      </w:r>
      <w:r w:rsidRPr="00353FE7">
        <w:rPr>
          <w:rFonts w:eastAsia="Times New Roman" w:cs="Helvetica"/>
          <w:color w:val="333333"/>
          <w:bdr w:val="none" w:sz="0" w:space="0" w:color="auto" w:frame="1"/>
          <w:lang w:val="en-US" w:eastAsia="pt-BR"/>
        </w:rPr>
        <w:t> = .26). Exsanguination, which was the predominant cause of death within the first 24 hours, was significantly decreased in the 1:1:1 group (9.2% vs 14.6% in 1:1:2 group; difference, −</w:t>
      </w:r>
      <w:proofErr w:type="gramStart"/>
      <w:r w:rsidRPr="00353FE7">
        <w:rPr>
          <w:rFonts w:eastAsia="Times New Roman" w:cs="Helvetica"/>
          <w:color w:val="333333"/>
          <w:bdr w:val="none" w:sz="0" w:space="0" w:color="auto" w:frame="1"/>
          <w:lang w:val="en-US" w:eastAsia="pt-BR"/>
        </w:rPr>
        <w:t>5.4%</w:t>
      </w:r>
      <w:proofErr w:type="gramEnd"/>
      <w:r w:rsidRPr="00353FE7">
        <w:rPr>
          <w:rFonts w:eastAsia="Times New Roman" w:cs="Helvetica"/>
          <w:color w:val="333333"/>
          <w:bdr w:val="none" w:sz="0" w:space="0" w:color="auto" w:frame="1"/>
          <w:lang w:val="en-US" w:eastAsia="pt-BR"/>
        </w:rPr>
        <w:t xml:space="preserve"> [95% CI, −10.4% to −0.5%]; </w:t>
      </w:r>
      <w:r w:rsidRPr="00353FE7">
        <w:rPr>
          <w:rFonts w:eastAsia="Times New Roman" w:cs="Helvetica"/>
          <w:i/>
          <w:iCs/>
          <w:color w:val="333333"/>
          <w:bdr w:val="none" w:sz="0" w:space="0" w:color="auto" w:frame="1"/>
          <w:lang w:val="en-US" w:eastAsia="pt-BR"/>
        </w:rPr>
        <w:t>P</w:t>
      </w:r>
      <w:r w:rsidRPr="00353FE7">
        <w:rPr>
          <w:rFonts w:eastAsia="Times New Roman" w:cs="Helvetica"/>
          <w:color w:val="333333"/>
          <w:bdr w:val="none" w:sz="0" w:space="0" w:color="auto" w:frame="1"/>
          <w:lang w:val="en-US" w:eastAsia="pt-BR"/>
        </w:rPr>
        <w:t> = .03). More patients in the 1:1:1 group achieved hemostasis than in the 1:1:2 group (86% vs 78%, respectively; </w:t>
      </w:r>
      <w:r w:rsidRPr="00353FE7">
        <w:rPr>
          <w:rFonts w:eastAsia="Times New Roman" w:cs="Helvetica"/>
          <w:i/>
          <w:iCs/>
          <w:color w:val="333333"/>
          <w:bdr w:val="none" w:sz="0" w:space="0" w:color="auto" w:frame="1"/>
          <w:lang w:val="en-US" w:eastAsia="pt-BR"/>
        </w:rPr>
        <w:t>P</w:t>
      </w:r>
      <w:r w:rsidRPr="00353FE7">
        <w:rPr>
          <w:rFonts w:eastAsia="Times New Roman" w:cs="Helvetica"/>
          <w:color w:val="333333"/>
          <w:bdr w:val="none" w:sz="0" w:space="0" w:color="auto" w:frame="1"/>
          <w:lang w:val="en-US" w:eastAsia="pt-BR"/>
        </w:rPr>
        <w:t xml:space="preserve"> = .006). </w:t>
      </w:r>
      <w:proofErr w:type="gramStart"/>
      <w:r w:rsidRPr="00353FE7">
        <w:rPr>
          <w:rFonts w:eastAsia="Times New Roman" w:cs="Helvetica"/>
          <w:color w:val="333333"/>
          <w:bdr w:val="none" w:sz="0" w:space="0" w:color="auto" w:frame="1"/>
          <w:lang w:val="en-US" w:eastAsia="pt-BR"/>
        </w:rPr>
        <w:t>Despite the 1:1:1 group receiving more plasma (median of 7 U vs 5 U, </w:t>
      </w:r>
      <w:r w:rsidRPr="00353FE7">
        <w:rPr>
          <w:rFonts w:eastAsia="Times New Roman" w:cs="Helvetica"/>
          <w:i/>
          <w:iCs/>
          <w:color w:val="333333"/>
          <w:bdr w:val="none" w:sz="0" w:space="0" w:color="auto" w:frame="1"/>
          <w:lang w:val="en-US" w:eastAsia="pt-BR"/>
        </w:rPr>
        <w:t>P</w:t>
      </w:r>
      <w:r w:rsidRPr="00353FE7">
        <w:rPr>
          <w:rFonts w:eastAsia="Times New Roman" w:cs="Helvetica"/>
          <w:color w:val="333333"/>
          <w:bdr w:val="none" w:sz="0" w:space="0" w:color="auto" w:frame="1"/>
          <w:lang w:val="en-US" w:eastAsia="pt-BR"/>
        </w:rPr>
        <w:t> &lt; .001) and platelets (12 U vs 6 U, </w:t>
      </w:r>
      <w:r w:rsidRPr="00353FE7">
        <w:rPr>
          <w:rFonts w:eastAsia="Times New Roman" w:cs="Helvetica"/>
          <w:i/>
          <w:iCs/>
          <w:color w:val="333333"/>
          <w:bdr w:val="none" w:sz="0" w:space="0" w:color="auto" w:frame="1"/>
          <w:lang w:val="en-US" w:eastAsia="pt-BR"/>
        </w:rPr>
        <w:t>P</w:t>
      </w:r>
      <w:r w:rsidRPr="00353FE7">
        <w:rPr>
          <w:rFonts w:eastAsia="Times New Roman" w:cs="Helvetica"/>
          <w:color w:val="333333"/>
          <w:bdr w:val="none" w:sz="0" w:space="0" w:color="auto" w:frame="1"/>
          <w:lang w:val="en-US" w:eastAsia="pt-BR"/>
        </w:rPr>
        <w:t xml:space="preserve"> &lt; .001) and similar amounts of red blood cells (9 U) over the first 24 hours, no differences between the 2 groups were found for the 23 </w:t>
      </w:r>
      <w:proofErr w:type="spellStart"/>
      <w:r w:rsidRPr="00353FE7">
        <w:rPr>
          <w:rFonts w:eastAsia="Times New Roman" w:cs="Helvetica"/>
          <w:color w:val="333333"/>
          <w:bdr w:val="none" w:sz="0" w:space="0" w:color="auto" w:frame="1"/>
          <w:lang w:val="en-US" w:eastAsia="pt-BR"/>
        </w:rPr>
        <w:t>prespecified</w:t>
      </w:r>
      <w:proofErr w:type="spellEnd"/>
      <w:r w:rsidRPr="00353FE7">
        <w:rPr>
          <w:rFonts w:eastAsia="Times New Roman" w:cs="Helvetica"/>
          <w:color w:val="333333"/>
          <w:bdr w:val="none" w:sz="0" w:space="0" w:color="auto" w:frame="1"/>
          <w:lang w:val="en-US" w:eastAsia="pt-BR"/>
        </w:rPr>
        <w:t xml:space="preserve"> complications, including acute respiratory distress syndrome, multiple organ failure, venous thromboembolism, sepsis, and transfusion-related complications.</w:t>
      </w:r>
      <w:proofErr w:type="gramEnd"/>
    </w:p>
    <w:p w:rsidR="00353FE7" w:rsidRPr="00353FE7" w:rsidRDefault="00353FE7" w:rsidP="00353FE7">
      <w:pPr>
        <w:shd w:val="clear" w:color="auto" w:fill="FFFFFF"/>
        <w:spacing w:after="0" w:line="240" w:lineRule="auto"/>
        <w:textAlignment w:val="baseline"/>
        <w:rPr>
          <w:rFonts w:eastAsia="Times New Roman" w:cs="Helvetica"/>
          <w:b/>
          <w:bCs/>
          <w:color w:val="333333"/>
          <w:bdr w:val="none" w:sz="0" w:space="0" w:color="auto" w:frame="1"/>
          <w:lang w:val="en-US" w:eastAsia="pt-BR"/>
        </w:rPr>
      </w:pPr>
    </w:p>
    <w:p w:rsidR="00353FE7" w:rsidRPr="00353FE7" w:rsidRDefault="00353FE7" w:rsidP="00353FE7">
      <w:pPr>
        <w:shd w:val="clear" w:color="auto" w:fill="FFFFFF"/>
        <w:spacing w:after="0" w:line="240" w:lineRule="auto"/>
        <w:textAlignment w:val="baseline"/>
        <w:rPr>
          <w:rFonts w:eastAsia="Times New Roman" w:cs="Helvetica"/>
          <w:color w:val="333333"/>
          <w:bdr w:val="none" w:sz="0" w:space="0" w:color="auto" w:frame="1"/>
          <w:lang w:val="en-US" w:eastAsia="pt-BR"/>
        </w:rPr>
      </w:pPr>
      <w:r w:rsidRPr="00353FE7">
        <w:rPr>
          <w:rFonts w:eastAsia="Times New Roman" w:cs="Helvetica"/>
          <w:b/>
          <w:bCs/>
          <w:color w:val="333333"/>
          <w:bdr w:val="none" w:sz="0" w:space="0" w:color="auto" w:frame="1"/>
          <w:lang w:val="en-US" w:eastAsia="pt-BR"/>
        </w:rPr>
        <w:t>Conclusions and Relevance</w:t>
      </w:r>
      <w:proofErr w:type="gramStart"/>
      <w:r w:rsidRPr="00353FE7">
        <w:rPr>
          <w:rFonts w:eastAsia="Times New Roman" w:cs="Helvetica"/>
          <w:color w:val="333333"/>
          <w:bdr w:val="none" w:sz="0" w:space="0" w:color="auto" w:frame="1"/>
          <w:lang w:val="en-US" w:eastAsia="pt-BR"/>
        </w:rPr>
        <w:t>  Among</w:t>
      </w:r>
      <w:proofErr w:type="gramEnd"/>
      <w:r w:rsidRPr="00353FE7">
        <w:rPr>
          <w:rFonts w:eastAsia="Times New Roman" w:cs="Helvetica"/>
          <w:color w:val="333333"/>
          <w:bdr w:val="none" w:sz="0" w:space="0" w:color="auto" w:frame="1"/>
          <w:lang w:val="en-US" w:eastAsia="pt-BR"/>
        </w:rPr>
        <w:t xml:space="preserve"> patients with severe trauma and major bleeding, early administration of plasma, platelets, and red blood cells in a 1:1:1 ratio compared with a 1:1:2 ratio did not result in significant differences in mortality at 24 hours or at 30 days. However, more patients in the 1:1:1 group achieved hemostasis and fewer experienced death due to exsanguination by 24 hours. Even though there was an increased use of plasma and platelets transfused in the 1:1:1 group, no other safety differences </w:t>
      </w:r>
      <w:proofErr w:type="gramStart"/>
      <w:r w:rsidRPr="00353FE7">
        <w:rPr>
          <w:rFonts w:eastAsia="Times New Roman" w:cs="Helvetica"/>
          <w:color w:val="333333"/>
          <w:bdr w:val="none" w:sz="0" w:space="0" w:color="auto" w:frame="1"/>
          <w:lang w:val="en-US" w:eastAsia="pt-BR"/>
        </w:rPr>
        <w:t>were identified</w:t>
      </w:r>
      <w:proofErr w:type="gramEnd"/>
      <w:r w:rsidRPr="00353FE7">
        <w:rPr>
          <w:rFonts w:eastAsia="Times New Roman" w:cs="Helvetica"/>
          <w:color w:val="333333"/>
          <w:bdr w:val="none" w:sz="0" w:space="0" w:color="auto" w:frame="1"/>
          <w:lang w:val="en-US" w:eastAsia="pt-BR"/>
        </w:rPr>
        <w:t xml:space="preserve"> between the 2 groups.</w:t>
      </w:r>
    </w:p>
    <w:p w:rsidR="00353FE7" w:rsidRPr="00353FE7" w:rsidRDefault="00353FE7" w:rsidP="00353FE7">
      <w:pPr>
        <w:shd w:val="clear" w:color="auto" w:fill="FFFFFF"/>
        <w:spacing w:after="150" w:line="240" w:lineRule="auto"/>
        <w:textAlignment w:val="baseline"/>
        <w:rPr>
          <w:rFonts w:eastAsia="Times New Roman" w:cs="Helvetica"/>
          <w:b/>
          <w:bCs/>
          <w:color w:val="333333"/>
          <w:bdr w:val="none" w:sz="0" w:space="0" w:color="auto" w:frame="1"/>
          <w:lang w:val="en-US" w:eastAsia="pt-BR"/>
        </w:rPr>
      </w:pPr>
    </w:p>
    <w:p w:rsidR="00353FE7" w:rsidRPr="00353FE7" w:rsidRDefault="00353FE7" w:rsidP="00353FE7">
      <w:pPr>
        <w:shd w:val="clear" w:color="auto" w:fill="FFFFFF"/>
        <w:spacing w:after="150" w:line="240" w:lineRule="auto"/>
        <w:textAlignment w:val="baseline"/>
        <w:rPr>
          <w:rFonts w:eastAsia="Times New Roman" w:cs="Helvetica"/>
          <w:color w:val="333333"/>
          <w:bdr w:val="none" w:sz="0" w:space="0" w:color="auto" w:frame="1"/>
          <w:lang w:val="en-US" w:eastAsia="pt-BR"/>
        </w:rPr>
      </w:pPr>
      <w:r w:rsidRPr="00353FE7">
        <w:rPr>
          <w:rFonts w:eastAsia="Times New Roman" w:cs="Helvetica"/>
          <w:b/>
          <w:bCs/>
          <w:color w:val="333333"/>
          <w:bdr w:val="none" w:sz="0" w:space="0" w:color="auto" w:frame="1"/>
          <w:lang w:val="en-US" w:eastAsia="pt-BR"/>
        </w:rPr>
        <w:t>Trial Registration</w:t>
      </w:r>
      <w:proofErr w:type="gramStart"/>
      <w:r w:rsidRPr="00353FE7">
        <w:rPr>
          <w:rFonts w:eastAsia="Times New Roman" w:cs="Helvetica"/>
          <w:color w:val="333333"/>
          <w:bdr w:val="none" w:sz="0" w:space="0" w:color="auto" w:frame="1"/>
          <w:lang w:val="en-US" w:eastAsia="pt-BR"/>
        </w:rPr>
        <w:t>  clinicaltrials.gov</w:t>
      </w:r>
      <w:proofErr w:type="gramEnd"/>
      <w:r w:rsidRPr="00353FE7">
        <w:rPr>
          <w:rFonts w:eastAsia="Times New Roman" w:cs="Helvetica"/>
          <w:color w:val="333333"/>
          <w:bdr w:val="none" w:sz="0" w:space="0" w:color="auto" w:frame="1"/>
          <w:lang w:val="en-US" w:eastAsia="pt-BR"/>
        </w:rPr>
        <w:t xml:space="preserve"> Identifier: </w:t>
      </w:r>
      <w:hyperlink r:id="rId4" w:history="1">
        <w:r w:rsidRPr="00353FE7">
          <w:rPr>
            <w:rFonts w:eastAsia="Times New Roman" w:cs="Helvetica"/>
            <w:color w:val="3399CC"/>
            <w:u w:val="single"/>
            <w:bdr w:val="none" w:sz="0" w:space="0" w:color="auto" w:frame="1"/>
            <w:lang w:val="en-US" w:eastAsia="pt-BR"/>
          </w:rPr>
          <w:t>NCT01545232</w:t>
        </w:r>
      </w:hyperlink>
    </w:p>
    <w:p w:rsidR="00EE6324" w:rsidRPr="00353FE7" w:rsidRDefault="00EE6324">
      <w:pPr>
        <w:rPr>
          <w:lang w:val="en-US"/>
        </w:rPr>
      </w:pPr>
    </w:p>
    <w:sectPr w:rsidR="00EE6324" w:rsidRPr="00353F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E7"/>
    <w:rsid w:val="00353FE7"/>
    <w:rsid w:val="00EE63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34FA1-8F3F-4B04-81D8-E88AB050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53F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53FE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53FE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53FE7"/>
    <w:rPr>
      <w:rFonts w:ascii="Times New Roman" w:eastAsia="Times New Roman" w:hAnsi="Times New Roman" w:cs="Times New Roman"/>
      <w:b/>
      <w:bCs/>
      <w:sz w:val="36"/>
      <w:szCs w:val="36"/>
      <w:lang w:eastAsia="pt-BR"/>
    </w:rPr>
  </w:style>
  <w:style w:type="character" w:customStyle="1" w:styleId="subtitle">
    <w:name w:val="subtitle"/>
    <w:basedOn w:val="Fontepargpadro"/>
    <w:rsid w:val="00353FE7"/>
  </w:style>
  <w:style w:type="character" w:customStyle="1" w:styleId="authornames">
    <w:name w:val="authornames"/>
    <w:basedOn w:val="Fontepargpadro"/>
    <w:rsid w:val="00353FE7"/>
  </w:style>
  <w:style w:type="character" w:customStyle="1" w:styleId="apple-converted-space">
    <w:name w:val="apple-converted-space"/>
    <w:basedOn w:val="Fontepargpadro"/>
    <w:rsid w:val="00353FE7"/>
  </w:style>
  <w:style w:type="character" w:styleId="Hyperlink">
    <w:name w:val="Hyperlink"/>
    <w:basedOn w:val="Fontepargpadro"/>
    <w:uiPriority w:val="99"/>
    <w:semiHidden/>
    <w:unhideWhenUsed/>
    <w:rsid w:val="00353FE7"/>
    <w:rPr>
      <w:color w:val="0000FF"/>
      <w:u w:val="single"/>
    </w:rPr>
  </w:style>
  <w:style w:type="character" w:customStyle="1" w:styleId="spanplus">
    <w:name w:val="spanplus"/>
    <w:basedOn w:val="Fontepargpadro"/>
    <w:rsid w:val="00353FE7"/>
  </w:style>
  <w:style w:type="paragraph" w:styleId="NormalWeb">
    <w:name w:val="Normal (Web)"/>
    <w:basedOn w:val="Normal"/>
    <w:uiPriority w:val="99"/>
    <w:semiHidden/>
    <w:unhideWhenUsed/>
    <w:rsid w:val="00353F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53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07284">
      <w:bodyDiv w:val="1"/>
      <w:marLeft w:val="0"/>
      <w:marRight w:val="0"/>
      <w:marTop w:val="0"/>
      <w:marBottom w:val="0"/>
      <w:divBdr>
        <w:top w:val="none" w:sz="0" w:space="0" w:color="auto"/>
        <w:left w:val="none" w:sz="0" w:space="0" w:color="auto"/>
        <w:bottom w:val="none" w:sz="0" w:space="0" w:color="auto"/>
        <w:right w:val="none" w:sz="0" w:space="0" w:color="auto"/>
      </w:divBdr>
      <w:divsChild>
        <w:div w:id="251164623">
          <w:marLeft w:val="0"/>
          <w:marRight w:val="0"/>
          <w:marTop w:val="0"/>
          <w:marBottom w:val="0"/>
          <w:divBdr>
            <w:top w:val="none" w:sz="0" w:space="0" w:color="auto"/>
            <w:left w:val="none" w:sz="0" w:space="0" w:color="auto"/>
            <w:bottom w:val="none" w:sz="0" w:space="0" w:color="auto"/>
            <w:right w:val="none" w:sz="0" w:space="0" w:color="auto"/>
          </w:divBdr>
          <w:divsChild>
            <w:div w:id="946154792">
              <w:marLeft w:val="0"/>
              <w:marRight w:val="0"/>
              <w:marTop w:val="0"/>
              <w:marBottom w:val="150"/>
              <w:divBdr>
                <w:top w:val="none" w:sz="0" w:space="0" w:color="auto"/>
                <w:left w:val="none" w:sz="0" w:space="0" w:color="auto"/>
                <w:bottom w:val="none" w:sz="0" w:space="0" w:color="auto"/>
                <w:right w:val="none" w:sz="0" w:space="0" w:color="auto"/>
              </w:divBdr>
            </w:div>
            <w:div w:id="1991251178">
              <w:marLeft w:val="0"/>
              <w:marRight w:val="0"/>
              <w:marTop w:val="0"/>
              <w:marBottom w:val="300"/>
              <w:divBdr>
                <w:top w:val="none" w:sz="0" w:space="0" w:color="auto"/>
                <w:left w:val="none" w:sz="0" w:space="0" w:color="auto"/>
                <w:bottom w:val="none" w:sz="0" w:space="0" w:color="auto"/>
                <w:right w:val="none" w:sz="0" w:space="0" w:color="auto"/>
              </w:divBdr>
            </w:div>
            <w:div w:id="1023165242">
              <w:marLeft w:val="0"/>
              <w:marRight w:val="0"/>
              <w:marTop w:val="0"/>
              <w:marBottom w:val="375"/>
              <w:divBdr>
                <w:top w:val="none" w:sz="0" w:space="0" w:color="auto"/>
                <w:left w:val="none" w:sz="0" w:space="0" w:color="auto"/>
                <w:bottom w:val="none" w:sz="0" w:space="0" w:color="auto"/>
                <w:right w:val="none" w:sz="0" w:space="0" w:color="auto"/>
              </w:divBdr>
              <w:divsChild>
                <w:div w:id="1410688600">
                  <w:marLeft w:val="0"/>
                  <w:marRight w:val="0"/>
                  <w:marTop w:val="0"/>
                  <w:marBottom w:val="0"/>
                  <w:divBdr>
                    <w:top w:val="none" w:sz="0" w:space="0" w:color="auto"/>
                    <w:left w:val="none" w:sz="0" w:space="0" w:color="auto"/>
                    <w:bottom w:val="none" w:sz="0" w:space="0" w:color="auto"/>
                    <w:right w:val="none" w:sz="0" w:space="0" w:color="auto"/>
                  </w:divBdr>
                </w:div>
                <w:div w:id="1928924376">
                  <w:marLeft w:val="0"/>
                  <w:marRight w:val="0"/>
                  <w:marTop w:val="0"/>
                  <w:marBottom w:val="0"/>
                  <w:divBdr>
                    <w:top w:val="none" w:sz="0" w:space="0" w:color="auto"/>
                    <w:left w:val="none" w:sz="0" w:space="0" w:color="auto"/>
                    <w:bottom w:val="none" w:sz="0" w:space="0" w:color="auto"/>
                    <w:right w:val="none" w:sz="0" w:space="0" w:color="auto"/>
                  </w:divBdr>
                </w:div>
              </w:divsChild>
            </w:div>
            <w:div w:id="1501651858">
              <w:marLeft w:val="120"/>
              <w:marRight w:val="0"/>
              <w:marTop w:val="0"/>
              <w:marBottom w:val="15"/>
              <w:divBdr>
                <w:top w:val="none" w:sz="0" w:space="0" w:color="auto"/>
                <w:left w:val="none" w:sz="0" w:space="0" w:color="auto"/>
                <w:bottom w:val="none" w:sz="0" w:space="0" w:color="auto"/>
                <w:right w:val="none" w:sz="0" w:space="0" w:color="auto"/>
              </w:divBdr>
              <w:divsChild>
                <w:div w:id="1762141292">
                  <w:marLeft w:val="0"/>
                  <w:marRight w:val="0"/>
                  <w:marTop w:val="0"/>
                  <w:marBottom w:val="0"/>
                  <w:divBdr>
                    <w:top w:val="none" w:sz="0" w:space="0" w:color="auto"/>
                    <w:left w:val="none" w:sz="0" w:space="0" w:color="auto"/>
                    <w:bottom w:val="none" w:sz="0" w:space="0" w:color="auto"/>
                    <w:right w:val="none" w:sz="0" w:space="0" w:color="auto"/>
                  </w:divBdr>
                  <w:divsChild>
                    <w:div w:id="577247490">
                      <w:marLeft w:val="0"/>
                      <w:marRight w:val="0"/>
                      <w:marTop w:val="0"/>
                      <w:marBottom w:val="0"/>
                      <w:divBdr>
                        <w:top w:val="none" w:sz="0" w:space="0" w:color="auto"/>
                        <w:left w:val="none" w:sz="0" w:space="0" w:color="auto"/>
                        <w:bottom w:val="none" w:sz="0" w:space="0" w:color="auto"/>
                        <w:right w:val="none" w:sz="0" w:space="0" w:color="auto"/>
                      </w:divBdr>
                    </w:div>
                    <w:div w:id="2146239414">
                      <w:marLeft w:val="0"/>
                      <w:marRight w:val="0"/>
                      <w:marTop w:val="0"/>
                      <w:marBottom w:val="0"/>
                      <w:divBdr>
                        <w:top w:val="none" w:sz="0" w:space="0" w:color="auto"/>
                        <w:left w:val="none" w:sz="0" w:space="0" w:color="auto"/>
                        <w:bottom w:val="none" w:sz="0" w:space="0" w:color="auto"/>
                        <w:right w:val="none" w:sz="0" w:space="0" w:color="auto"/>
                      </w:divBdr>
                    </w:div>
                    <w:div w:id="1701316433">
                      <w:marLeft w:val="0"/>
                      <w:marRight w:val="0"/>
                      <w:marTop w:val="0"/>
                      <w:marBottom w:val="0"/>
                      <w:divBdr>
                        <w:top w:val="none" w:sz="0" w:space="0" w:color="auto"/>
                        <w:left w:val="none" w:sz="0" w:space="0" w:color="auto"/>
                        <w:bottom w:val="none" w:sz="0" w:space="0" w:color="auto"/>
                        <w:right w:val="none" w:sz="0" w:space="0" w:color="auto"/>
                      </w:divBdr>
                    </w:div>
                    <w:div w:id="834958208">
                      <w:marLeft w:val="0"/>
                      <w:marRight w:val="0"/>
                      <w:marTop w:val="0"/>
                      <w:marBottom w:val="0"/>
                      <w:divBdr>
                        <w:top w:val="none" w:sz="0" w:space="0" w:color="auto"/>
                        <w:left w:val="none" w:sz="0" w:space="0" w:color="auto"/>
                        <w:bottom w:val="none" w:sz="0" w:space="0" w:color="auto"/>
                        <w:right w:val="none" w:sz="0" w:space="0" w:color="auto"/>
                      </w:divBdr>
                    </w:div>
                    <w:div w:id="7047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3838">
          <w:marLeft w:val="0"/>
          <w:marRight w:val="0"/>
          <w:marTop w:val="0"/>
          <w:marBottom w:val="0"/>
          <w:divBdr>
            <w:top w:val="single" w:sz="6" w:space="0" w:color="999999"/>
            <w:left w:val="none" w:sz="0" w:space="0" w:color="auto"/>
            <w:bottom w:val="none" w:sz="0" w:space="0" w:color="auto"/>
            <w:right w:val="none" w:sz="0" w:space="0" w:color="auto"/>
          </w:divBdr>
          <w:divsChild>
            <w:div w:id="1545293357">
              <w:marLeft w:val="0"/>
              <w:marRight w:val="0"/>
              <w:marTop w:val="150"/>
              <w:marBottom w:val="0"/>
              <w:divBdr>
                <w:top w:val="none" w:sz="0" w:space="0" w:color="auto"/>
                <w:left w:val="none" w:sz="0" w:space="0" w:color="auto"/>
                <w:bottom w:val="none" w:sz="0" w:space="0" w:color="auto"/>
                <w:right w:val="none" w:sz="0" w:space="0" w:color="auto"/>
              </w:divBdr>
              <w:divsChild>
                <w:div w:id="1184590454">
                  <w:marLeft w:val="0"/>
                  <w:marRight w:val="0"/>
                  <w:marTop w:val="0"/>
                  <w:marBottom w:val="0"/>
                  <w:divBdr>
                    <w:top w:val="none" w:sz="0" w:space="0" w:color="auto"/>
                    <w:left w:val="none" w:sz="0" w:space="0" w:color="auto"/>
                    <w:bottom w:val="none" w:sz="0" w:space="0" w:color="auto"/>
                    <w:right w:val="none" w:sz="0" w:space="0" w:color="auto"/>
                  </w:divBdr>
                  <w:divsChild>
                    <w:div w:id="511649332">
                      <w:marLeft w:val="0"/>
                      <w:marRight w:val="0"/>
                      <w:marTop w:val="0"/>
                      <w:marBottom w:val="225"/>
                      <w:divBdr>
                        <w:top w:val="single" w:sz="18" w:space="0" w:color="333333"/>
                        <w:left w:val="none" w:sz="0" w:space="8" w:color="auto"/>
                        <w:bottom w:val="dotted" w:sz="6" w:space="0" w:color="CCCCCC"/>
                        <w:right w:val="none" w:sz="0" w:space="8" w:color="auto"/>
                      </w:divBdr>
                      <w:divsChild>
                        <w:div w:id="1873152799">
                          <w:marLeft w:val="0"/>
                          <w:marRight w:val="0"/>
                          <w:marTop w:val="0"/>
                          <w:marBottom w:val="0"/>
                          <w:divBdr>
                            <w:top w:val="none" w:sz="0" w:space="0" w:color="auto"/>
                            <w:left w:val="none" w:sz="0" w:space="0" w:color="auto"/>
                            <w:bottom w:val="none" w:sz="0" w:space="0" w:color="auto"/>
                            <w:right w:val="none" w:sz="0" w:space="0" w:color="auto"/>
                          </w:divBdr>
                          <w:divsChild>
                            <w:div w:id="1312952404">
                              <w:marLeft w:val="0"/>
                              <w:marRight w:val="0"/>
                              <w:marTop w:val="75"/>
                              <w:marBottom w:val="75"/>
                              <w:divBdr>
                                <w:top w:val="none" w:sz="0" w:space="0" w:color="auto"/>
                                <w:left w:val="none" w:sz="0" w:space="0" w:color="auto"/>
                                <w:bottom w:val="none" w:sz="0" w:space="0" w:color="auto"/>
                                <w:right w:val="none" w:sz="0" w:space="0" w:color="auto"/>
                              </w:divBdr>
                              <w:divsChild>
                                <w:div w:id="18653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9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inicaltrials.gov/show/NCT0154523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Ajith Sankarankutty</dc:creator>
  <cp:keywords/>
  <dc:description/>
  <cp:lastModifiedBy>Ajith Sankarankutty</cp:lastModifiedBy>
  <cp:revision>1</cp:revision>
  <dcterms:created xsi:type="dcterms:W3CDTF">2015-05-05T22:18:00Z</dcterms:created>
  <dcterms:modified xsi:type="dcterms:W3CDTF">2015-05-05T22:21:00Z</dcterms:modified>
</cp:coreProperties>
</file>