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59BFB09" w:rsidR="00355E5B" w:rsidRDefault="001C7C67">
      <w:pPr>
        <w:spacing w:before="240" w:after="240"/>
        <w:ind w:firstLine="700"/>
        <w:jc w:val="both"/>
        <w:rPr>
          <w:b/>
          <w:bCs/>
          <w:sz w:val="24"/>
          <w:szCs w:val="24"/>
        </w:rPr>
      </w:pPr>
      <w:r w:rsidRPr="001C7C67">
        <w:rPr>
          <w:b/>
          <w:bCs/>
          <w:sz w:val="24"/>
          <w:szCs w:val="24"/>
        </w:rPr>
        <w:t>A complexa genética molecular da hipercolesterolemia familiar</w:t>
      </w:r>
    </w:p>
    <w:p w14:paraId="1BFA43C4" w14:textId="77777777" w:rsidR="001C7C67" w:rsidRPr="001C7C67" w:rsidRDefault="001C7C67">
      <w:pPr>
        <w:spacing w:before="240" w:after="240"/>
        <w:ind w:firstLine="700"/>
        <w:jc w:val="both"/>
        <w:rPr>
          <w:b/>
          <w:bCs/>
          <w:sz w:val="24"/>
          <w:szCs w:val="24"/>
        </w:rPr>
      </w:pPr>
    </w:p>
    <w:p w14:paraId="00000002" w14:textId="77777777" w:rsidR="00355E5B" w:rsidRDefault="001C7C67">
      <w:pPr>
        <w:spacing w:before="240" w:after="240"/>
        <w:ind w:firstLine="700"/>
        <w:jc w:val="both"/>
      </w:pPr>
      <w:r>
        <w:t xml:space="preserve">Kevin Kei Kobori  NUSP </w:t>
      </w:r>
      <w:r>
        <w:rPr>
          <w:color w:val="222222"/>
          <w:highlight w:val="white"/>
        </w:rPr>
        <w:t xml:space="preserve">9370751 </w:t>
      </w:r>
    </w:p>
    <w:p w14:paraId="00000003" w14:textId="6B067238" w:rsidR="00355E5B" w:rsidRDefault="001C7C67">
      <w:pPr>
        <w:spacing w:before="240" w:after="240"/>
        <w:ind w:firstLine="700"/>
        <w:jc w:val="both"/>
      </w:pPr>
      <w:r>
        <w:t>Pedro Henrique Araujo Isola  NUSP 10845471</w:t>
      </w:r>
    </w:p>
    <w:p w14:paraId="7158BB23" w14:textId="77777777" w:rsidR="001C7C67" w:rsidRDefault="001C7C67">
      <w:pPr>
        <w:spacing w:before="240" w:after="240"/>
        <w:ind w:firstLine="700"/>
        <w:jc w:val="both"/>
      </w:pPr>
    </w:p>
    <w:p w14:paraId="00000004" w14:textId="77777777" w:rsidR="00355E5B" w:rsidRPr="001C7C67" w:rsidRDefault="001C7C67">
      <w:pPr>
        <w:spacing w:before="240" w:after="240"/>
        <w:ind w:firstLine="700"/>
        <w:jc w:val="both"/>
        <w:rPr>
          <w:b/>
          <w:sz w:val="24"/>
          <w:szCs w:val="24"/>
        </w:rPr>
      </w:pPr>
      <w:r w:rsidRPr="001C7C67">
        <w:rPr>
          <w:b/>
          <w:sz w:val="24"/>
          <w:szCs w:val="24"/>
        </w:rPr>
        <w:t xml:space="preserve">Introdução </w:t>
      </w:r>
    </w:p>
    <w:p w14:paraId="00000005" w14:textId="77777777" w:rsidR="00355E5B" w:rsidRPr="001C7C67" w:rsidRDefault="001C7C67">
      <w:pPr>
        <w:spacing w:before="240" w:after="240"/>
        <w:ind w:firstLine="708"/>
        <w:jc w:val="both"/>
        <w:rPr>
          <w:sz w:val="24"/>
          <w:szCs w:val="24"/>
        </w:rPr>
      </w:pPr>
      <w:r w:rsidRPr="001C7C67">
        <w:rPr>
          <w:sz w:val="24"/>
          <w:szCs w:val="24"/>
        </w:rPr>
        <w:t>A hipercolesterolemia familiar (HF), é a</w:t>
      </w:r>
      <w:r w:rsidRPr="001C7C67">
        <w:rPr>
          <w:sz w:val="24"/>
          <w:szCs w:val="24"/>
        </w:rPr>
        <w:t xml:space="preserve"> condição genética mais comum que predispõe indivíduos a terem doença cardiovascular prematura, ela provém de mutações em alguns genes relacionados com o metabolismo de lipoproteínas, sendo eles: APOB, APOE, LDLR, PCSK9, e STAP1. Os problemas causados pela</w:t>
      </w:r>
      <w:r w:rsidRPr="001C7C67">
        <w:rPr>
          <w:sz w:val="24"/>
          <w:szCs w:val="24"/>
        </w:rPr>
        <w:t xml:space="preserve"> HF estão relacionados a elevados níveis do colesterol LDL-C que causam aterosclerose, o LDL possui vários efeitos deletérios de funções vasculares os quais resultam na obstrução de artérias, quando ela é sobrecarregada com o colesterol.</w:t>
      </w:r>
    </w:p>
    <w:p w14:paraId="00000006" w14:textId="77777777" w:rsidR="00355E5B" w:rsidRPr="001C7C67" w:rsidRDefault="001C7C67">
      <w:pPr>
        <w:spacing w:before="240" w:after="240"/>
        <w:ind w:firstLine="708"/>
        <w:jc w:val="both"/>
        <w:rPr>
          <w:sz w:val="24"/>
          <w:szCs w:val="24"/>
        </w:rPr>
      </w:pPr>
      <w:r w:rsidRPr="001C7C67">
        <w:rPr>
          <w:sz w:val="24"/>
          <w:szCs w:val="24"/>
        </w:rPr>
        <w:t>Um dos grandes pro</w:t>
      </w:r>
      <w:r w:rsidRPr="001C7C67">
        <w:rPr>
          <w:sz w:val="24"/>
          <w:szCs w:val="24"/>
        </w:rPr>
        <w:t>blemas enfrentados quando se avalia a HF é a eficácia de seu diagnóstico, neles é geralmente avaliada as características físicas (xantomas tendinosos, xantelasmas ou arco senil) da doença juntamente com o histórico pessoal e familiar de doença cardiovascul</w:t>
      </w:r>
      <w:r w:rsidRPr="001C7C67">
        <w:rPr>
          <w:sz w:val="24"/>
          <w:szCs w:val="24"/>
        </w:rPr>
        <w:t>ar prematura, além da avaliação de variantes patogênicas em um dos três principais genes associados a HF (APOB, LDLR, e PCSK9). No entanto nem sempre uma variante rara no DNA pode ser considerada patogênica, logo a avaliação clínica que leva em consideraçã</w:t>
      </w:r>
      <w:r w:rsidRPr="001C7C67">
        <w:rPr>
          <w:sz w:val="24"/>
          <w:szCs w:val="24"/>
        </w:rPr>
        <w:t>o essas variantes pode apresentar resultados falsos, além disso muitos pacientes têm as características físicas da doença sem apresentar uma variante patogênica. Outro fator que envolve a avaliação clínica da doença é o processo de triagem, sendo o process</w:t>
      </w:r>
      <w:r w:rsidRPr="001C7C67">
        <w:rPr>
          <w:sz w:val="24"/>
          <w:szCs w:val="24"/>
        </w:rPr>
        <w:t xml:space="preserve">o de triagem universal o mais indicado, pois minimiza a quantidade de casos perdidos através da testagem do DNA de adultos, crianças e adolescentes, porém é um processo caro. </w:t>
      </w:r>
    </w:p>
    <w:p w14:paraId="00000007" w14:textId="77777777" w:rsidR="00355E5B" w:rsidRPr="001C7C67" w:rsidRDefault="001C7C67">
      <w:pPr>
        <w:spacing w:before="240" w:after="240"/>
        <w:ind w:firstLine="700"/>
        <w:jc w:val="both"/>
        <w:rPr>
          <w:b/>
          <w:sz w:val="24"/>
          <w:szCs w:val="24"/>
        </w:rPr>
      </w:pPr>
      <w:r w:rsidRPr="001C7C67">
        <w:rPr>
          <w:b/>
          <w:sz w:val="24"/>
          <w:szCs w:val="24"/>
        </w:rPr>
        <w:t>Descrição do Problema</w:t>
      </w:r>
    </w:p>
    <w:p w14:paraId="00000008" w14:textId="77777777" w:rsidR="00355E5B" w:rsidRPr="001C7C67" w:rsidRDefault="001C7C67">
      <w:pPr>
        <w:spacing w:before="240" w:after="240"/>
        <w:ind w:firstLine="700"/>
        <w:jc w:val="both"/>
        <w:rPr>
          <w:sz w:val="24"/>
          <w:szCs w:val="24"/>
        </w:rPr>
      </w:pPr>
      <w:r w:rsidRPr="001C7C67">
        <w:rPr>
          <w:sz w:val="24"/>
          <w:szCs w:val="24"/>
        </w:rPr>
        <w:t>A hipercolesterolemia familiar (HF) é uma doença onde o in</w:t>
      </w:r>
      <w:r w:rsidRPr="001C7C67">
        <w:rPr>
          <w:sz w:val="24"/>
          <w:szCs w:val="24"/>
        </w:rPr>
        <w:t>divíduo acometido possui altos níveis de LDL (low density lipoprotein) sanguíneo, devido a distúrbios no metabolismo celular.  O LDL é uma partícula esférica constituído por um núcleo de moléculas de ésteres de colesterila, envolto por uma camada de molécu</w:t>
      </w:r>
      <w:r w:rsidRPr="001C7C67">
        <w:rPr>
          <w:sz w:val="24"/>
          <w:szCs w:val="24"/>
        </w:rPr>
        <w:t>las de colesterol, moléculas de fosfolipídeos e uma molécula de apolipoproteína B-100 (apoB-100). O LDL possui como função carregar o colesterol do fígado para o restante do corpo, atravessando, assim, importantes vias do sistema arterial. A patogenicidade</w:t>
      </w:r>
      <w:r w:rsidRPr="001C7C67">
        <w:rPr>
          <w:sz w:val="24"/>
          <w:szCs w:val="24"/>
        </w:rPr>
        <w:t xml:space="preserve"> do LDL está relacionada a falhas na interiorização do LDL ao meio intracelular ou erros em sua metabolização, levando ao seu acúmulo no sistema arterial. A interiorização consiste no reconhecimento da apoB-100 por receptores específico </w:t>
      </w:r>
      <w:r w:rsidRPr="001C7C67">
        <w:rPr>
          <w:sz w:val="24"/>
          <w:szCs w:val="24"/>
        </w:rPr>
        <w:lastRenderedPageBreak/>
        <w:t>(LDLR) presentes da</w:t>
      </w:r>
      <w:r w:rsidRPr="001C7C67">
        <w:rPr>
          <w:sz w:val="24"/>
          <w:szCs w:val="24"/>
        </w:rPr>
        <w:t xml:space="preserve"> superfície da membrana celular. Ao ligar-se um mecanismo de endocitose é iniciado e o complexo LDL-LDLR é levado para o interior da célula por meio de um endossomo. Em seguida, devido a mudanças no ph endossômico, o complexo é desfeito e parte do endossom</w:t>
      </w:r>
      <w:r w:rsidRPr="001C7C67">
        <w:rPr>
          <w:sz w:val="24"/>
          <w:szCs w:val="24"/>
        </w:rPr>
        <w:t xml:space="preserve">o, então, segrega-se e a vesícula contendo o LDLR é reciclada na superfície da membrana plasmática. A outra parte, o endossomo com o LDL, funde-se com um lissossomo onde enzimas líticas irão agir para degradá-lo. </w:t>
      </w:r>
    </w:p>
    <w:p w14:paraId="00000009" w14:textId="77777777" w:rsidR="00355E5B" w:rsidRPr="001C7C67" w:rsidRDefault="001C7C67">
      <w:pPr>
        <w:spacing w:before="240" w:after="240"/>
        <w:ind w:firstLine="700"/>
        <w:jc w:val="both"/>
        <w:rPr>
          <w:sz w:val="24"/>
          <w:szCs w:val="24"/>
        </w:rPr>
      </w:pPr>
      <w:r w:rsidRPr="001C7C67">
        <w:rPr>
          <w:sz w:val="24"/>
          <w:szCs w:val="24"/>
        </w:rPr>
        <w:t>Na hipercolesterolemia familiar, algumas d</w:t>
      </w:r>
      <w:r w:rsidRPr="001C7C67">
        <w:rPr>
          <w:sz w:val="24"/>
          <w:szCs w:val="24"/>
        </w:rPr>
        <w:t>as estruturas que participam desse processo, devido a ação de variantes ou erros de processamento genéticos, sofrem alterações e modificações que culminam em defeitos metabólicos e consequente aumento dos níveis sérico do LDL sanguíneo. O LDLR, por exemplo</w:t>
      </w:r>
      <w:r w:rsidRPr="001C7C67">
        <w:rPr>
          <w:sz w:val="24"/>
          <w:szCs w:val="24"/>
        </w:rPr>
        <w:t>, em alguns casos, torna-se parcialmente funcional ou totalmente disfuncional, levando a falhas na interiorização do LDL. Da mesma maneira, a APOB pode sofrer alterações em sua estrutura e dificultar o reconhecimento do LDL pelo receptor. Outro processo in</w:t>
      </w:r>
      <w:r w:rsidRPr="001C7C67">
        <w:rPr>
          <w:sz w:val="24"/>
          <w:szCs w:val="24"/>
        </w:rPr>
        <w:t>cidentes em alguns casos está no processo de degradação do LDL e seu receptor. Neste caso, há a participação do PCSK9 que liga-se ao LDLR e  por meio de uma modificação do ph endossômico, o complexo LDL-LDLR é preservado e o receptor degradado junto com se</w:t>
      </w:r>
      <w:r w:rsidRPr="001C7C67">
        <w:rPr>
          <w:sz w:val="24"/>
          <w:szCs w:val="24"/>
        </w:rPr>
        <w:t>u ligante; LDL. O seguinte artigo, explora e apresenta uma revisão da complexidade dos fatores genéticos que levam ao distúrbio metabólico e as contribuições desses fatores no diagnóstico e na compreensão da doença.</w:t>
      </w:r>
    </w:p>
    <w:p w14:paraId="0000000A" w14:textId="77777777" w:rsidR="00355E5B" w:rsidRPr="001C7C67" w:rsidRDefault="00355E5B">
      <w:pPr>
        <w:spacing w:before="240" w:after="240"/>
        <w:jc w:val="both"/>
        <w:rPr>
          <w:b/>
          <w:sz w:val="24"/>
          <w:szCs w:val="24"/>
        </w:rPr>
      </w:pPr>
    </w:p>
    <w:p w14:paraId="0000000B" w14:textId="77777777" w:rsidR="00355E5B" w:rsidRPr="001C7C67" w:rsidRDefault="001C7C67">
      <w:pPr>
        <w:spacing w:before="240" w:after="240"/>
        <w:jc w:val="both"/>
        <w:rPr>
          <w:b/>
          <w:sz w:val="24"/>
          <w:szCs w:val="24"/>
        </w:rPr>
      </w:pPr>
      <w:r w:rsidRPr="001C7C67">
        <w:rPr>
          <w:b/>
          <w:sz w:val="24"/>
          <w:szCs w:val="24"/>
        </w:rPr>
        <w:t>Ferramentas e conteúdos de Biologia Mol</w:t>
      </w:r>
      <w:r w:rsidRPr="001C7C67">
        <w:rPr>
          <w:b/>
          <w:sz w:val="24"/>
          <w:szCs w:val="24"/>
        </w:rPr>
        <w:t>ecular necessários para a resolução do problema</w:t>
      </w:r>
    </w:p>
    <w:p w14:paraId="0000000C" w14:textId="77777777" w:rsidR="00355E5B" w:rsidRPr="001C7C67" w:rsidRDefault="001C7C67">
      <w:pPr>
        <w:spacing w:before="240" w:after="240"/>
        <w:jc w:val="both"/>
        <w:rPr>
          <w:sz w:val="24"/>
          <w:szCs w:val="24"/>
        </w:rPr>
      </w:pPr>
      <w:r w:rsidRPr="001C7C67">
        <w:rPr>
          <w:sz w:val="24"/>
          <w:szCs w:val="24"/>
        </w:rPr>
        <w:tab/>
        <w:t>A biologia molecular torna-se uma poderosa ferramenta tanto para fins de diagnóstico quanto para questões terapêuticas na Hipercolestermia Familiar, visto que muitos dos distúrbios no processo de metabolizaç</w:t>
      </w:r>
      <w:r w:rsidRPr="001C7C67">
        <w:rPr>
          <w:sz w:val="24"/>
          <w:szCs w:val="24"/>
        </w:rPr>
        <w:t xml:space="preserve">ão do LDL estão ligadas a erros no processamento do RNA e variantes genéticas. Logo, a compreensão de conceitos genéticos e de mecanismos biomoleculares tornam-se essenciais tanto para a aplicação de técnicas para a identificação das variantes quanto para </w:t>
      </w:r>
      <w:r w:rsidRPr="001C7C67">
        <w:rPr>
          <w:sz w:val="24"/>
          <w:szCs w:val="24"/>
        </w:rPr>
        <w:t xml:space="preserve">a compreensão dos mecanismos fisiopatológicos. </w:t>
      </w:r>
    </w:p>
    <w:p w14:paraId="0000000D" w14:textId="77777777" w:rsidR="00355E5B" w:rsidRPr="001C7C67" w:rsidRDefault="001C7C67">
      <w:pPr>
        <w:spacing w:before="240" w:after="240"/>
        <w:ind w:firstLine="720"/>
        <w:jc w:val="both"/>
        <w:rPr>
          <w:sz w:val="24"/>
          <w:szCs w:val="24"/>
        </w:rPr>
      </w:pPr>
      <w:r w:rsidRPr="001C7C67">
        <w:rPr>
          <w:sz w:val="24"/>
          <w:szCs w:val="24"/>
        </w:rPr>
        <w:t>Há três grandes variantes genéticas envolvidas na patogenicidade do HF que são aquelas envolvidas na codificação do APOB-100, LDLR, e PCSK9. A análise detalhada utilizando métodos como o sequenciamento e mape</w:t>
      </w:r>
      <w:r w:rsidRPr="001C7C67">
        <w:rPr>
          <w:sz w:val="24"/>
          <w:szCs w:val="24"/>
        </w:rPr>
        <w:t>amento genético identificaram uma multiplicidade de tipos de mutações nesses genes. No caso LDLR, por exemplo, foram identificados: variações do número de cópias em larga escala de DNA, mutações sem sentido na região codificante, inserções e deleções dentr</w:t>
      </w:r>
      <w:r w:rsidRPr="001C7C67">
        <w:rPr>
          <w:sz w:val="24"/>
          <w:szCs w:val="24"/>
        </w:rPr>
        <w:t>o ou fora da região codificante, mutações de splicing,  mutação de troca de sentido. Da mesma maneira, descobriu-se para o gene da APOB-100 a existência de: mutações sem sentido, mutações pontuais em resíduos de aminoácidos, substituição de um códon no DNA</w:t>
      </w:r>
      <w:r w:rsidRPr="001C7C67">
        <w:rPr>
          <w:sz w:val="24"/>
          <w:szCs w:val="24"/>
        </w:rPr>
        <w:t xml:space="preserve">, deleções e inserções de nucleotídeos e mutações de splicing. Já para </w:t>
      </w:r>
      <w:r w:rsidRPr="001C7C67">
        <w:rPr>
          <w:sz w:val="24"/>
          <w:szCs w:val="24"/>
        </w:rPr>
        <w:lastRenderedPageBreak/>
        <w:t xml:space="preserve">gene da PCSK9, identificou-se: mutações de perda/ ganho de função causados por Deleções/ inserções. </w:t>
      </w:r>
    </w:p>
    <w:p w14:paraId="0000000E" w14:textId="77777777" w:rsidR="00355E5B" w:rsidRPr="001C7C67" w:rsidRDefault="001C7C67">
      <w:pPr>
        <w:spacing w:before="240" w:after="240"/>
        <w:ind w:firstLine="720"/>
        <w:jc w:val="both"/>
        <w:rPr>
          <w:sz w:val="24"/>
          <w:szCs w:val="24"/>
        </w:rPr>
      </w:pPr>
      <w:r w:rsidRPr="001C7C67">
        <w:rPr>
          <w:sz w:val="24"/>
          <w:szCs w:val="24"/>
          <w:highlight w:val="white"/>
        </w:rPr>
        <w:t>Diante disso, conceitos como: gene, variantes e polimorfismo; assim como a compreens</w:t>
      </w:r>
      <w:r w:rsidRPr="001C7C67">
        <w:rPr>
          <w:sz w:val="24"/>
          <w:szCs w:val="24"/>
          <w:highlight w:val="white"/>
        </w:rPr>
        <w:t>ão dos  diferentes mecanismo de mutação no DNA e de  processamento de RNA  legitimam-se, pois comprovam a relação íntima entre o HF e sua relação com a biologia molecular. Mutações de splicing, por exemplo, podem ocorrer de diversas formas e são extremam</w:t>
      </w:r>
      <w:r w:rsidRPr="001C7C67">
        <w:rPr>
          <w:sz w:val="24"/>
          <w:szCs w:val="24"/>
        </w:rPr>
        <w:t>en</w:t>
      </w:r>
      <w:r w:rsidRPr="001C7C67">
        <w:rPr>
          <w:sz w:val="24"/>
          <w:szCs w:val="24"/>
        </w:rPr>
        <w:t xml:space="preserve">te dependentes dos snRNPs. Se caso ocorra uma mutação na extremidade de um éxon; em uma região conservada, há a possibilidade de não haver o reconhecimento adequado das snRNPs da região de início de splicing, podendo ocorrer, assim, uma diminuição do éxon </w:t>
      </w:r>
      <w:r w:rsidRPr="001C7C67">
        <w:rPr>
          <w:sz w:val="24"/>
          <w:szCs w:val="24"/>
        </w:rPr>
        <w:t xml:space="preserve">e uma deleção parcial no RNA maduro.  </w:t>
      </w:r>
    </w:p>
    <w:p w14:paraId="0000000F" w14:textId="77777777" w:rsidR="00355E5B" w:rsidRPr="001C7C67" w:rsidRDefault="001C7C67">
      <w:pPr>
        <w:spacing w:before="240" w:after="240"/>
        <w:ind w:firstLine="720"/>
        <w:jc w:val="both"/>
        <w:rPr>
          <w:sz w:val="24"/>
          <w:szCs w:val="24"/>
        </w:rPr>
      </w:pPr>
      <w:r w:rsidRPr="001C7C67">
        <w:rPr>
          <w:sz w:val="24"/>
          <w:szCs w:val="24"/>
        </w:rPr>
        <w:t>O sequenciamento de DNA consiste na determinação da sequência dos nucleotídeos que compõem uma parte do DNA, para que isso seja feito existem alguns métodos, sendo o mais clássico o método de Sanger. Esse método consi</w:t>
      </w:r>
      <w:r w:rsidRPr="001C7C67">
        <w:rPr>
          <w:sz w:val="24"/>
          <w:szCs w:val="24"/>
        </w:rPr>
        <w:t>ste na produção de diversas cópias de um DNA alvo, através da ligação de primers aos fragmentos de DNA desnaturados e síntese de pares de base pela DNA polimerase, até que um dideoxinucleotídeo (ddNTP - terminador de cadeia), marcado com corante, seja adic</w:t>
      </w:r>
      <w:r w:rsidRPr="001C7C67">
        <w:rPr>
          <w:sz w:val="24"/>
          <w:szCs w:val="24"/>
        </w:rPr>
        <w:t>ionado, o que impossibilita a adição de novos nucleotídeos devido a ausência de um grupo -OH no carbono 3'. Essas etapas definem um ciclo, que é repetido até que o ddNTP seja incorporado em todas as posições do DNA.</w:t>
      </w:r>
    </w:p>
    <w:p w14:paraId="00000010" w14:textId="77777777" w:rsidR="00355E5B" w:rsidRPr="001C7C67" w:rsidRDefault="001C7C67">
      <w:pPr>
        <w:spacing w:before="240" w:after="240"/>
        <w:ind w:firstLine="720"/>
        <w:jc w:val="both"/>
        <w:rPr>
          <w:sz w:val="24"/>
          <w:szCs w:val="24"/>
        </w:rPr>
      </w:pPr>
      <w:r w:rsidRPr="001C7C67">
        <w:rPr>
          <w:sz w:val="24"/>
          <w:szCs w:val="24"/>
        </w:rPr>
        <w:t>No entanto o método de Sanger é caro e i</w:t>
      </w:r>
      <w:r w:rsidRPr="001C7C67">
        <w:rPr>
          <w:sz w:val="24"/>
          <w:szCs w:val="24"/>
        </w:rPr>
        <w:t>neficiente para projetos em larga escala, nesses casos é feito o sequenciamento de nova geração (NGS), que são um conjunto de técnicas que possuem um custo menor, uma maior eficiência e uma maior velocidade. O NGS é basicamente uma série de pequenas reaçõe</w:t>
      </w:r>
      <w:r w:rsidRPr="001C7C67">
        <w:rPr>
          <w:sz w:val="24"/>
          <w:szCs w:val="24"/>
        </w:rPr>
        <w:t>s de Sanger realizadas em paralelo, esse paralelismo possibilita o sequenciamento de uma maior quantidade de DNA com um rendimento melhor.</w:t>
      </w:r>
    </w:p>
    <w:p w14:paraId="00000011" w14:textId="77777777" w:rsidR="00355E5B" w:rsidRPr="001C7C67" w:rsidRDefault="001C7C67">
      <w:pPr>
        <w:spacing w:before="240" w:after="240"/>
        <w:ind w:firstLine="720"/>
        <w:jc w:val="both"/>
        <w:rPr>
          <w:sz w:val="24"/>
          <w:szCs w:val="24"/>
          <w:highlight w:val="yellow"/>
        </w:rPr>
      </w:pPr>
      <w:r w:rsidRPr="001C7C67">
        <w:rPr>
          <w:sz w:val="24"/>
          <w:szCs w:val="24"/>
        </w:rPr>
        <w:t>No presente contexto a NGS foi utilizada para detectar variantes nos genes relacionados a HF, por exemplo, a NGS em p</w:t>
      </w:r>
      <w:r w:rsidRPr="001C7C67">
        <w:rPr>
          <w:sz w:val="24"/>
          <w:szCs w:val="24"/>
        </w:rPr>
        <w:t>acientes com HF recessiva severa encontrou mutações raras em outros genes relacionados com a elevação do colesterol, como a mutação no gene ABCG5. Com o uso das novas tecnologias de sequenciamento genético a tendência é que sejam observadas cada vez mais u</w:t>
      </w:r>
      <w:r w:rsidRPr="001C7C67">
        <w:rPr>
          <w:sz w:val="24"/>
          <w:szCs w:val="24"/>
        </w:rPr>
        <w:t xml:space="preserve">m número maior de novas variantes do gênero. </w:t>
      </w:r>
    </w:p>
    <w:p w14:paraId="00000012" w14:textId="77777777" w:rsidR="00355E5B" w:rsidRPr="001C7C67" w:rsidRDefault="001C7C67">
      <w:pPr>
        <w:spacing w:before="240" w:after="240"/>
        <w:ind w:firstLine="720"/>
        <w:jc w:val="both"/>
        <w:rPr>
          <w:sz w:val="24"/>
          <w:szCs w:val="24"/>
        </w:rPr>
      </w:pPr>
      <w:r w:rsidRPr="001C7C67">
        <w:rPr>
          <w:sz w:val="24"/>
          <w:szCs w:val="24"/>
        </w:rPr>
        <w:t>Porém é necessário ser cauteloso com esse elevado número de variantes gênicas, pois essas variações podem ser não patogênicas, sendo necessário uma evidência funcional para comprovar sua patogenicidade, a análi</w:t>
      </w:r>
      <w:r w:rsidRPr="001C7C67">
        <w:rPr>
          <w:sz w:val="24"/>
          <w:szCs w:val="24"/>
        </w:rPr>
        <w:t>se dessa evidência funcional passa por diversos processos, começando por uma mutagênese do cDNA de LDLR do tipo selvagem, transferindo-o para células com atividade intrínseca mínima do receptor de LDL, seguido por uma análise reducional do receptor mutante</w:t>
      </w:r>
      <w:r w:rsidRPr="001C7C67">
        <w:rPr>
          <w:sz w:val="24"/>
          <w:szCs w:val="24"/>
        </w:rPr>
        <w:t xml:space="preserve">. Posteriormente são feitos ensaios para verificar alguns fatores como: retenção no retículo endoplasmático; incapacidade de produzir o receptor maduro e ligar-se com </w:t>
      </w:r>
      <w:r w:rsidRPr="001C7C67">
        <w:rPr>
          <w:sz w:val="24"/>
          <w:szCs w:val="24"/>
        </w:rPr>
        <w:lastRenderedPageBreak/>
        <w:t xml:space="preserve">o LDL interno; e finalmente é usado PCR para verificar se a variante afeta o processo de </w:t>
      </w:r>
      <w:r w:rsidRPr="001C7C67">
        <w:rPr>
          <w:sz w:val="24"/>
          <w:szCs w:val="24"/>
        </w:rPr>
        <w:t xml:space="preserve">splicing do RNA. </w:t>
      </w:r>
    </w:p>
    <w:p w14:paraId="00000013" w14:textId="77777777" w:rsidR="00355E5B" w:rsidRPr="001C7C67" w:rsidRDefault="00355E5B">
      <w:pPr>
        <w:spacing w:before="240" w:after="240"/>
        <w:ind w:firstLine="720"/>
        <w:jc w:val="both"/>
        <w:rPr>
          <w:sz w:val="24"/>
          <w:szCs w:val="24"/>
        </w:rPr>
      </w:pPr>
    </w:p>
    <w:p w14:paraId="00000014" w14:textId="77777777" w:rsidR="00355E5B" w:rsidRPr="001C7C67" w:rsidRDefault="001C7C67">
      <w:pPr>
        <w:spacing w:before="240" w:after="240"/>
        <w:jc w:val="both"/>
        <w:rPr>
          <w:b/>
          <w:bCs/>
          <w:sz w:val="24"/>
          <w:szCs w:val="24"/>
        </w:rPr>
      </w:pPr>
      <w:r w:rsidRPr="001C7C67">
        <w:rPr>
          <w:b/>
          <w:bCs/>
          <w:sz w:val="24"/>
          <w:szCs w:val="24"/>
        </w:rPr>
        <w:t xml:space="preserve">Referências </w:t>
      </w:r>
    </w:p>
    <w:p w14:paraId="00000015" w14:textId="1E217A16" w:rsidR="00355E5B" w:rsidRPr="001C7C67" w:rsidRDefault="001C7C67">
      <w:pPr>
        <w:spacing w:before="240" w:after="240"/>
        <w:jc w:val="both"/>
        <w:rPr>
          <w:sz w:val="24"/>
          <w:szCs w:val="24"/>
        </w:rPr>
      </w:pPr>
      <w:r w:rsidRPr="001C7C67">
        <w:rPr>
          <w:sz w:val="24"/>
          <w:szCs w:val="24"/>
        </w:rPr>
        <w:t>Amanda J. Berberich and Robert A. Hegele. The complex molecular genetics of familial hypercholesterolaemia. Disponível em: &lt;</w:t>
      </w:r>
      <w:r w:rsidRPr="001C7C67">
        <w:rPr>
          <w:sz w:val="24"/>
          <w:szCs w:val="24"/>
        </w:rPr>
        <w:t>https://www.nature.com/articles/s41569-018-0052-6</w:t>
      </w:r>
      <w:r w:rsidRPr="001C7C67">
        <w:rPr>
          <w:sz w:val="24"/>
          <w:szCs w:val="24"/>
        </w:rPr>
        <w:t xml:space="preserve">&gt; </w:t>
      </w:r>
    </w:p>
    <w:p w14:paraId="00000016" w14:textId="77777777" w:rsidR="00355E5B" w:rsidRPr="001C7C67" w:rsidRDefault="001C7C67">
      <w:pPr>
        <w:spacing w:before="240" w:after="240"/>
        <w:ind w:firstLine="720"/>
        <w:jc w:val="both"/>
        <w:rPr>
          <w:sz w:val="24"/>
          <w:szCs w:val="24"/>
        </w:rPr>
      </w:pPr>
      <w:r w:rsidRPr="001C7C67">
        <w:rPr>
          <w:sz w:val="24"/>
          <w:szCs w:val="24"/>
        </w:rPr>
        <w:t xml:space="preserve"> </w:t>
      </w:r>
    </w:p>
    <w:sectPr w:rsidR="00355E5B" w:rsidRPr="001C7C67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5B"/>
    <w:rsid w:val="001C7C67"/>
    <w:rsid w:val="003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4D0E"/>
  <w15:docId w15:val="{37D17FBC-A517-4203-84A0-FCFAEB90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 Araujo</cp:lastModifiedBy>
  <cp:revision>2</cp:revision>
  <dcterms:created xsi:type="dcterms:W3CDTF">2020-06-20T01:26:00Z</dcterms:created>
  <dcterms:modified xsi:type="dcterms:W3CDTF">2020-06-20T01:29:00Z</dcterms:modified>
</cp:coreProperties>
</file>