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7CA5" w:rsidRDefault="009939B2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Giovanna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Silva, Guilherme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Michelle Ap. Anjos dos Santos e Mirella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Sampaio</w:t>
      </w:r>
    </w:p>
    <w:p w14:paraId="00000002" w14:textId="77777777" w:rsidR="00F77CA5" w:rsidRDefault="00F77CA5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F77CA5" w:rsidRDefault="009939B2">
      <w:pPr>
        <w:spacing w:line="360" w:lineRule="auto"/>
        <w:ind w:left="-566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Recursos terapêuticos manuais na área de fisioterapia na saúde da mulher</w:t>
      </w:r>
    </w:p>
    <w:p w14:paraId="00000004" w14:textId="77777777" w:rsidR="00F77CA5" w:rsidRDefault="00F77CA5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F77CA5" w:rsidRDefault="009939B2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00000006" w14:textId="77777777" w:rsidR="00F77CA5" w:rsidRDefault="009939B2">
      <w:pPr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Fisioterapia em Saúde da Mulher é uma especialidade profissional da Fisioterapia, reconhecida pela resolução do Conselho Federal de Fisioterapia e Terapia Ocupacional - COFFITO (nº. 372/2009). Essa área tem como finalidade a ampla atuação fisioterapêutic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ao longo do ciclo vital feminino, na promoção à saúde, prevenção e tratamento (ABRAFISM; CREFITO15). Existem cinco áreas de atuação da fisioterapia na saúde da mulher: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Uroginecologia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Coloproctologia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; Ginecologia; Obstetrícia; Disfunções Sexuais Feminin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Mastologia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(CREFITO15).</w:t>
      </w:r>
    </w:p>
    <w:p w14:paraId="00000007" w14:textId="77777777" w:rsidR="00F77CA5" w:rsidRDefault="009939B2">
      <w:pPr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ação fisioterapêutica inclui cinesioterapia de forma a fortalecer o assoalho pélvico, eletroterapia, trabalho da consciência corporal para um melhor controle da musculatura pélvica, e também atuando nos recursos terapêuticos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manuais (ANDRADE RL et al., 2018; BARAKAT R. et al., 2018; OJHA et al., 2014; RICHMOND et al., 2016).</w:t>
      </w:r>
    </w:p>
    <w:p w14:paraId="00000008" w14:textId="77777777" w:rsidR="00F77CA5" w:rsidRDefault="009939B2">
      <w:pPr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recursos terapêuticos manuais (RTM) são técnicas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manuais usadas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nos tecidos moles e articulações com o objetivo de reduzir a dor e edema, melhora da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DM e mobilidade, promoção do relaxamento muscular, melhora da função do paciente e melhora da extensibilidade tecidual (OJHA et al., 2014). As técnicas podem incluir drenagem linfática manual, tração manual, massagem, mobilização/manipulação e amplitude 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movimento passiva (OJHA et al., 2014).</w:t>
      </w:r>
    </w:p>
    <w:p w14:paraId="00000009" w14:textId="77777777" w:rsidR="00F77CA5" w:rsidRDefault="00F77CA5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77777777" w:rsidR="00F77CA5" w:rsidRDefault="009939B2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Desenvolvimento </w:t>
      </w:r>
    </w:p>
    <w:p w14:paraId="0000000B" w14:textId="77777777" w:rsidR="00F77CA5" w:rsidRDefault="009939B2">
      <w:pPr>
        <w:shd w:val="clear" w:color="auto" w:fill="FFFFFF"/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 mulheres com disfunção sexual a fisioterapia pode atuar nos distúrbios de excitação feminina, distúrbios de desejo sexual hipoativo, transtornos sexuais do orgasmo feminino,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dispareunia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(dor geni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tal antes, durante ou após a relação sexual), vaginismo (contração involuntária dos músculos da vagina). Assim, é utilizada a massagem perineal, incluindo a compressão isquêmica para liberação de pontos gatilho (WURN et al., 2004; (WOLPE et al., 2015). No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entanto, são necessários mais estudos sobre a ação da fisioterapia na disfunção sexual feminina.</w:t>
      </w:r>
    </w:p>
    <w:p w14:paraId="0000000C" w14:textId="77777777" w:rsidR="00F77CA5" w:rsidRDefault="009939B2">
      <w:pPr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gravidez as mulheres podem desenvolver dor lombar e pélvica, devido às alterações anatômicas que o corpo sofre durante esse período, como o aumento da cintu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ra, do quadril e da curvatura lombar (COFFITO). Tendo em vista isso, podem ser utilizadas as técnicas de terapia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craniossacral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(manipulações suaves na região da cabeça e pescoço), terapia manipulativa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osteopática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(manipulação das articulações e a aplicação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pressão sobre a pele por meio de uma técnica de "impulso") que reduz a lombalgia e a incapacidade funcional das mulheres grávidas; e massagem clássica ofertada pelo parceiro, pois promove um efeito positivo na diminuição da intensidade da dor sofrida 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 grávidas deprimidas (ELDEN et al, 2013; HALL et al., 2016). Porém, são necessárias mais evidências sobre esses temas. </w:t>
      </w:r>
    </w:p>
    <w:p w14:paraId="0000000D" w14:textId="77777777" w:rsidR="00F77CA5" w:rsidRDefault="009939B2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>Durante esse período do ciclo vital feminino, as mulheres podem ter outros sintomas como azia, náuseas, vômitos, tontura, dor de cabe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ça, insônia, dor cervical, hiperosmia (olfato aguçado), entre outros. O uso da técnica de tração rotacional na coluna cervical e torácica podem aliviar esses sintomas (SKARICA et al, 2018).  </w:t>
      </w:r>
    </w:p>
    <w:p w14:paraId="0000000E" w14:textId="77777777" w:rsidR="00F77CA5" w:rsidRDefault="009939B2">
      <w:pPr>
        <w:shd w:val="clear" w:color="auto" w:fill="FFFFFF"/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drenagem linfática manual (DLM) é um recurso terapêutico ampla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mente utilizado em mulheres com edema (DE OLIVEIRA et al., 2018; HA et al., 2017). O edema é um sintoma muito comum no final da gravidez (MOLLART et al, 2003). Assim, o fisioterapeuta pode utilizar a técnica de DLM, a fim de diminuir o edema nos membros 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feriores. </w:t>
      </w:r>
    </w:p>
    <w:p w14:paraId="0000000F" w14:textId="699E21A4" w:rsidR="00F77CA5" w:rsidRDefault="009939B2">
      <w:pPr>
        <w:shd w:val="clear" w:color="auto" w:fill="FFFFFF"/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 mulheres que apresentam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linfedema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devido ao procedimento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mastectomia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também é indicado a drenagem linfática manual (EZZO et al., 2015). Isso porque é um procedimento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  acompanhado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pela remoção de músculos e/ou de linfonodos que foram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afetados nas extremidades superiores unilaterais ou bilaterais (HA et al., 2017), gerando redução da capacidade de processar fluido linfático na região axilar da área afetada (HA et al., 2017; RIDNER et al., 2013) ocasionando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linfedema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Assim, a DLM prop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orciona redução do inchaço linfático melhorando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os movimentos da linfa e diminuindo o líquido intersticial (EZZO et al., 2015).</w:t>
      </w:r>
    </w:p>
    <w:p w14:paraId="00000010" w14:textId="77777777" w:rsidR="00F77CA5" w:rsidRDefault="009939B2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pós parto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 fisioterapeuta tem como principal objetivo tratar e prevenir desconfortos e também Trombose Venosa Profunda. A</w:t>
      </w:r>
      <w:r>
        <w:rPr>
          <w:rFonts w:ascii="Times New Roman" w:eastAsia="Times New Roman" w:hAnsi="Times New Roman" w:cs="Times New Roman"/>
          <w:sz w:val="24"/>
          <w:szCs w:val="24"/>
        </w:rPr>
        <w:t>lém de facilitar as funções respiratórias, cardíacas, locomotoras, posturais e urinárias, por meio de massagens clássicas, perineal e drenagem linfática (CREFITO15).</w:t>
      </w:r>
    </w:p>
    <w:p w14:paraId="00000011" w14:textId="03292F33" w:rsidR="00F77CA5" w:rsidRDefault="009939B2">
      <w:pPr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1999, Godoy e Godoy descreveram uma nova técnica de roletes como mecanismos de drenagem</w:t>
      </w:r>
      <w:r>
        <w:rPr>
          <w:rFonts w:ascii="Times New Roman" w:eastAsia="Times New Roman" w:hAnsi="Times New Roman" w:cs="Times New Roman"/>
          <w:sz w:val="24"/>
          <w:szCs w:val="24"/>
        </w:rPr>
        <w:t>. Com essa técnica, passou-se a questionar a utiliza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ção dos movimentos circulares preconizados pela técnica convencional e sugeriu-se a utilização, utilizando dos conceitos de anatomia, fisiologia e hidrodinâmica. É um tratamento que têm bastante resultado</w:t>
      </w:r>
      <w:r>
        <w:rPr>
          <w:rFonts w:ascii="Times New Roman" w:eastAsia="Times New Roman" w:hAnsi="Times New Roman" w:cs="Times New Roman"/>
          <w:sz w:val="24"/>
          <w:szCs w:val="24"/>
        </w:rPr>
        <w:t>s, mas também é um tratamento intensivo que ocorre durante meses, em que o paciente permanece na clínica de 6 a 8 horas por 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método trabalha com deslizamentos lineares, a técnica toda é baseada em um único movimento. A técnica também utiliza de uma </w:t>
      </w:r>
      <w:r>
        <w:rPr>
          <w:rFonts w:ascii="Times New Roman" w:eastAsia="Times New Roman" w:hAnsi="Times New Roman" w:cs="Times New Roman"/>
          <w:sz w:val="24"/>
          <w:szCs w:val="24"/>
        </w:rPr>
        <w:t>manobra de estimulação cervical, na qual o estímulo gerado na região supra clavicular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aumenta o fluxo linfático do corpo todo a partir de 4 min até 20 minutos pós estimulação. É uma técnica muita utilizada quando não é possível ter acesso à região que nece</w:t>
      </w:r>
      <w:r>
        <w:rPr>
          <w:rFonts w:ascii="Times New Roman" w:eastAsia="Times New Roman" w:hAnsi="Times New Roman" w:cs="Times New Roman"/>
          <w:sz w:val="24"/>
          <w:szCs w:val="24"/>
        </w:rPr>
        <w:t>ssita da estimulação, por exemplo em pacientes com grande queimadura (DOS SANTOS et al.,).</w:t>
      </w:r>
    </w:p>
    <w:p w14:paraId="00000012" w14:textId="77777777" w:rsidR="00F77CA5" w:rsidRDefault="00F77CA5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F77CA5" w:rsidRDefault="009939B2">
      <w:pPr>
        <w:spacing w:line="360" w:lineRule="auto"/>
        <w:ind w:left="-566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14:paraId="00000014" w14:textId="77777777" w:rsidR="00F77CA5" w:rsidRDefault="009939B2">
      <w:pPr>
        <w:spacing w:line="360" w:lineRule="auto"/>
        <w:ind w:left="-566"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Conclui-se que os recursos terapêuticos manuais apresentam melhores resultados quando utilizados de forma complementar ao tratamento, junto com outras téc</w:t>
      </w:r>
      <w:r>
        <w:rPr>
          <w:rFonts w:ascii="Times New Roman" w:eastAsia="Times New Roman" w:hAnsi="Times New Roman" w:cs="Times New Roman"/>
          <w:sz w:val="24"/>
          <w:szCs w:val="24"/>
        </w:rPr>
        <w:t>nicas fisioterapêuticas também eficazes. No entanto, ainda são necessários mais estudos sobre como esses recursos podem atuar em temas isolados.</w:t>
      </w:r>
    </w:p>
    <w:p w14:paraId="38B877E8" w14:textId="77777777" w:rsidR="009939B2" w:rsidRDefault="009939B2" w:rsidP="009939B2">
      <w:pPr>
        <w:spacing w:line="360" w:lineRule="auto"/>
        <w:ind w:left="-850" w:right="-85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00000016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BARAKAT, Ruben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Exercise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pregnancy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shorter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duration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labor.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European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Obstetrics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Gynecology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Reproductive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Biology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224, p. 33-40, 2018.</w:t>
      </w:r>
    </w:p>
    <w:p w14:paraId="00000017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COFFITO. Disponível em &gt;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>https://www.coffito.gov.br/nsite/?p=1308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&lt;.</w:t>
      </w:r>
    </w:p>
    <w:p w14:paraId="00000018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CREFITO. Disponível em&gt;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</w:rPr>
          <w:t>http://www.crefito15.org.br/fisioterapia-na-saude-da-mulher/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&lt;.</w:t>
      </w:r>
    </w:p>
    <w:p w14:paraId="00000019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DE ANDRADE, Roberta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Leopoldino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pelvic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floor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muscles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improved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women’s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knowledge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pelvic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floor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muscle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function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urinary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incontinence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sexual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function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randomised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physiotherapy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64, n. 2, p. 91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-96, 2018.</w:t>
      </w:r>
    </w:p>
    <w:p w14:paraId="0000001A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DE OLIVEIRA, Mariana Maia Freire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Long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term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drainage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active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morbidities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lymphoscintigraphy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lymphedema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patients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operated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breast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cancer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PloS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13, n. 1, 2018.</w:t>
      </w:r>
    </w:p>
    <w:p w14:paraId="0000001B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DOS SANTOS, Daniella Andrade Ferreira; MEJIA, Dayana Priscila Maia. Análise comparativa das técnicas de drenagem linfática manual: Método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Vodder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 Método Godoy &amp; Godoy.</w:t>
      </w:r>
    </w:p>
    <w:p w14:paraId="0000001C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ELDEN, Helen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craniosacral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adjunct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pelvic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girdle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pregnant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women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multicenter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single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blind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controlled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Acta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obstetricia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gynecologica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Scandinavica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92, n. 7, p. 775-782, 2013.</w:t>
      </w:r>
    </w:p>
    <w:p w14:paraId="0000001D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EZZO,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Jeanette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et al.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drainage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lymphedema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following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breast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cancer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Cochrane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database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systematic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reviews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n. 5, 2015.</w:t>
      </w:r>
    </w:p>
    <w:p w14:paraId="0000001E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HA,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Kyung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-Jin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Synergistic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Proprioceptive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Neuromuscular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Facilitation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Drainage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Patients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Mastectomy-Related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Lymphedema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Frontiers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physiology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8, p. 959, 2017.</w:t>
      </w:r>
    </w:p>
    <w:p w14:paraId="0000001F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HALL, Helen et al.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complementary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therapies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pregnancy-related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back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pelvic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meta-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Medicine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95, n. 38, 2016.</w:t>
      </w:r>
    </w:p>
    <w:p w14:paraId="00000020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MILANI, Giovan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 Barbosa; JOÃO, Silvia Maria Amado; FARAH, Estela Adriana. Fundamentos da Fisioterapia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dermato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-funcional: revisão de literatura.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Fisioterapia e pesquisa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13, n. 1, p. 37-43, 2006.</w:t>
      </w:r>
    </w:p>
    <w:p w14:paraId="00000021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MOLLART,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Lyndall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Single-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blind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addressing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differential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reflexology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versus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ankle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foot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oedema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late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pregnancy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Complementary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Therapies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Nursing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Midwifery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9, n. 4, p. 203-208, 2003.</w:t>
      </w:r>
    </w:p>
    <w:p w14:paraId="00000022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MULHER, A. B. DE F. EM S.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Disponível em &gt;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https: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>https://abrafism.org.br/</w:t>
        </w:r>
        <w:proofErr w:type="gramEnd"/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&lt;. </w:t>
      </w:r>
    </w:p>
    <w:p w14:paraId="00000023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OJHA, Heidi A.; SNYDER, Rachel S.; DAVENPORT, Todd 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Direct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access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compared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referred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episodes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94, n. 1, p. 14-30, 2014.</w:t>
      </w:r>
    </w:p>
    <w:p w14:paraId="00000024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RICHMOND,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Cheriallyn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F. 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APRN, WHNP-BC; Martin, Deanna K. MPH;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Yip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O. MD; Dick,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Madeline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A. MD;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Erekson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Elisabeth A. MD, MPH Efeito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biofeedback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supervisionado do assoalho pélvico e estimulação elétrica em mulheres com incontinência urinária de esforço e mista,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Medici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na pélvica feminina e cirurgia reconstrutiva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- v. 22 - n. 5 - p. 324-327, 2016.</w:t>
      </w:r>
    </w:p>
    <w:p w14:paraId="00000025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SKARICA, Boris.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Pregnancy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Symptoms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Usefulness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Treating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Pregnancy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Symptoms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Medical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Archives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72, n. 2, p. 131, 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018.</w:t>
      </w:r>
    </w:p>
    <w:p w14:paraId="00000026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WOLPE, Raquel Eleine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sexually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dysfunctional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women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Acta Fisiátrica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22, n. 2, p. 87-92, 2015.</w:t>
      </w:r>
    </w:p>
    <w:p w14:paraId="00000027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WURN, Lawrence J.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orgasm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decreasing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dyspareunia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 manual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physical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technique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Medscape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General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Medicine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6, n. 4, 2004.</w:t>
      </w:r>
    </w:p>
    <w:p w14:paraId="00000028" w14:textId="77777777" w:rsidR="00F77CA5" w:rsidRDefault="009939B2">
      <w:pPr>
        <w:spacing w:after="200" w:line="240" w:lineRule="auto"/>
        <w:ind w:left="-566" w:right="-60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UGWU, Emmanuel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Onyebuchi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et al.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antenatal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perineal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massage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reducing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perineal trauma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post‐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partum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morbidities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controlled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Obstetrics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Gynaecology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v. 44, n. 7, p. 1252-1258, 2018.</w:t>
      </w:r>
    </w:p>
    <w:sectPr w:rsidR="00F77CA5"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5"/>
    <w:rsid w:val="009939B2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4D2E5-20FC-4D37-AAF1-21AD91F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rafism.org.br/" TargetMode="External"/><Relationship Id="rId5" Type="http://schemas.openxmlformats.org/officeDocument/2006/relationships/hyperlink" Target="http://www.crefito15.org.br/fisioterapia-na-saude-da-mulher/" TargetMode="External"/><Relationship Id="rId4" Type="http://schemas.openxmlformats.org/officeDocument/2006/relationships/hyperlink" Target="https://www.coffito.gov.br/nsite/?p=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2020-05-12T18:21:00Z</dcterms:created>
  <dcterms:modified xsi:type="dcterms:W3CDTF">2020-05-12T18:24:00Z</dcterms:modified>
</cp:coreProperties>
</file>