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  <w:u w:val="single"/>
        </w:rPr>
        <w:t>RESOLUÇÃO CoG Nº 5500, DE 13 DE JANEIRO DE 2009</w:t>
      </w:r>
      <w:r>
        <w:rPr>
          <w:b/>
          <w:bCs/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</w:rPr>
        <w:t>(D.O.E. - 29.01.2009)</w:t>
      </w:r>
    </w:p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990033"/>
          <w:sz w:val="27"/>
          <w:szCs w:val="27"/>
        </w:rPr>
        <w:t>(Alterada pela Resolução</w:t>
      </w:r>
      <w:r>
        <w:rPr>
          <w:rStyle w:val="apple-converted-space"/>
          <w:b/>
          <w:bCs/>
          <w:color w:val="990033"/>
          <w:sz w:val="27"/>
          <w:szCs w:val="27"/>
        </w:rPr>
        <w:t> </w:t>
      </w:r>
      <w:hyperlink r:id="rId5" w:history="1">
        <w:r>
          <w:rPr>
            <w:rStyle w:val="Hyperlink"/>
            <w:b/>
            <w:bCs/>
            <w:sz w:val="27"/>
            <w:szCs w:val="27"/>
          </w:rPr>
          <w:t>6103/2012</w:t>
        </w:r>
      </w:hyperlink>
      <w:r>
        <w:rPr>
          <w:b/>
          <w:bCs/>
          <w:color w:val="990033"/>
          <w:sz w:val="27"/>
          <w:szCs w:val="27"/>
        </w:rPr>
        <w:t>)</w:t>
      </w:r>
    </w:p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Estabelece normas para o funcionamento das Comissões de Coordenação de Cursos.</w:t>
      </w:r>
    </w:p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Pró-Reitora de Graduação da USP, no uso de suas atribuições legais e tendo em vista o deliberado pelo Conselho de Graduação, em Sessão de 13.11.2008, e pela CLR, em Sessão de 17.12.2008, baixa a seguinte</w:t>
      </w:r>
    </w:p>
    <w:p w:rsidR="00D84202" w:rsidRDefault="00D84202" w:rsidP="00D84202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RESOLUÇÃO:</w:t>
      </w:r>
    </w:p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Artigo 1º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Cada Curso ou Habilitação nos termos do</w:t>
      </w:r>
      <w:r>
        <w:rPr>
          <w:rStyle w:val="apple-converted-space"/>
          <w:color w:val="000000"/>
          <w:sz w:val="27"/>
          <w:szCs w:val="27"/>
        </w:rPr>
        <w:t> </w:t>
      </w:r>
      <w:hyperlink r:id="rId6" w:anchor="a64" w:history="1">
        <w:r>
          <w:rPr>
            <w:rStyle w:val="Hyperlink"/>
            <w:sz w:val="27"/>
            <w:szCs w:val="27"/>
          </w:rPr>
          <w:t>art 64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do Estatuto da USP poderá ser coordenado por uma Comissão de Coordenação de Curso.</w:t>
      </w:r>
    </w:p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Artigo 2º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A Comissão de Graduação (CG) poderá propor ao Conselho de Graduação (CoG), após aprovação pela Congregação, a criação de Comissão de Coordenação de Curso (CoC), para: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- curso ou habilitação de Unidade;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- grupo de cursos ou habilitações de Unidade;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- curso interunidades;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 - ciclo básico, desde que justificado por seu projeto político pedagógico;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- período noturno, desde que justificado por seu projeto político pedagógico.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1º - As CoCs estarão vinculadas à CG da Unidade responsável pelo oferecimento do curso ou habilitação, salvo no caso das licenciaturas e dos cursos interunidades quando a vinculação será definida pelo CoG.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2º - O coordenador ou um dos membros da CoC deverá fazer parte da Comissão de Graduação.</w:t>
      </w:r>
    </w:p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Artigo 3º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Ao final de cada mandato da coordenação, a CG deverá aprovar e encaminhar relatório de atividades desenvolvidas pelas suas CoCs, ao CoG, que considerando as metas estabelecidas no projeto político pedagógico do curso poderá solicitar a ação da CG para sanar problemas que estejam ocorrendo.</w:t>
      </w:r>
    </w:p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Artigo 4º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A composição da CoC e os critérios da eleição de seus membros serão aprovados pelo CoG, a partir de proposta da CG ratificada pela Congregação.</w:t>
      </w:r>
    </w:p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Artigo 5º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Serão membros da CoC: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- docentes de Unidades, Órgãos de Integração ou Institutos Especializados participantes do curso, guardada a proporcionalidade em relação à carga horária do curso;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- representação discente, equivalente a 20% da representação docente, eleita por seus pares.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1º - O mandato dos membros docentes da CoC será de três anos, permitidas reconduções.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2º - A representação docente será renovada anualmente pelo terço.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§ 3º - Os representantes discentes terão mandato de um ano, permitida uma recondução.</w:t>
      </w:r>
    </w:p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Artigo 6º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A CoC elegerá seu Coordenador e respectivo suplente dentre os seus membros docentes, pertencentes à Unidade responsável pelo oferecimento do curso.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Parágrafo único - O mandato dos Coordenadores e suplentes será de dois anos, permitidas até duas reconduções.</w:t>
      </w:r>
    </w:p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Artigo 7º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São atribuições das CoCs, em consonância com as diretrizes estabelecidas pela CG a qual está vinculada: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- coordenar a implementação e a avaliação do projeto político pedagógico do curso considerando a Lei de Diretrizes e Bases da Educação Nacional, as Diretrizes Curriculares vigentes e, no caso de cursos de licenciatura, o Programa de Formação de Professores da Universidade;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 - encaminhar propostas de reestruturação do projeto político pedagógico e da respectiva estrutura curricular (disciplinas, módulos ou eixos temáticos) à CG da Unidade à qual o curso ou habilitação está vinculado, ouvidos, quando for o caso, os Departamentos;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- coordenar o planejamento, a execução e a avaliação dos programas de ensino/aprendizagem das disciplinas, módulos ou eixos temáticos;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 - elaborar a proposta de renovação de reconhecimento do curso;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V - analisar a pertinência do conteúdo programático e carga horária das disciplinas, módulos ou eixos temáticos, de acordo com o projeto político pedagógico, propondo alterações no que couber;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 - promover a articulação entre os docentes envolvidos no curso ou habilitação com vistas à integração interdisciplinar ou interdepartamental na implementação das propostas curriculares;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 - acompanhar a progressão dos alunos durante o curso ou habilitação, propondo ações voltadas à prática docente ou à implementação curricular, quando for o caso;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VIII - propor à CG alterações do número de vagas do curso ou habilitação, ouvidos, quando for o caso, os Departamentos envolvidos;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IX - submeter a proposta global do respectivo currículo à CG da Unidade, à qual o curso ou habilitação está vinculado;</w:t>
      </w:r>
    </w:p>
    <w:p w:rsidR="00D84202" w:rsidRDefault="00D84202" w:rsidP="00D84202">
      <w:pPr>
        <w:pStyle w:val="Normal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X - outras funções que lhe forem atribuídas pelo CoG ou que lhe forem delegadas pela CG da Unidade responsável pelo oferecimento do curso ou habilitação.</w:t>
      </w:r>
    </w:p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Artigo 8º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Esta Resolução e suas disposições transitórias entrarão em vigor na data de sua publicação, ficando revogadas as Resoluções CoG nºs.</w:t>
      </w:r>
      <w:r>
        <w:rPr>
          <w:rStyle w:val="apple-converted-space"/>
          <w:color w:val="000000"/>
          <w:sz w:val="27"/>
          <w:szCs w:val="27"/>
        </w:rPr>
        <w:t> </w:t>
      </w:r>
      <w:hyperlink r:id="rId7" w:history="1">
        <w:r>
          <w:rPr>
            <w:rStyle w:val="Hyperlink"/>
            <w:sz w:val="27"/>
            <w:szCs w:val="27"/>
          </w:rPr>
          <w:t>3740/90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e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history="1">
        <w:r>
          <w:rPr>
            <w:rStyle w:val="Hyperlink"/>
            <w:sz w:val="27"/>
            <w:szCs w:val="27"/>
          </w:rPr>
          <w:t>5264/2005</w:t>
        </w:r>
      </w:hyperlink>
      <w:r>
        <w:rPr>
          <w:color w:val="000000"/>
          <w:sz w:val="27"/>
          <w:szCs w:val="27"/>
        </w:rPr>
        <w:t>.</w:t>
      </w:r>
    </w:p>
    <w:p w:rsidR="00D84202" w:rsidRDefault="00D84202" w:rsidP="00D84202">
      <w:pPr>
        <w:pStyle w:val="NormalWeb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Disposições Transitórias</w:t>
      </w:r>
    </w:p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Artigo 1º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A partir da data da publicação desta Resolução, as Unidades terão o prazo de 120 dias para adequar suas Comissões de Coordenação de Cursos às normas vigentes.</w:t>
      </w:r>
    </w:p>
    <w:p w:rsidR="00D84202" w:rsidRDefault="00D84202" w:rsidP="00D8420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Pró-Reitoria de Graduação da Universidade de São Paulo, aos 13 de janeiro de 2009.</w:t>
      </w:r>
    </w:p>
    <w:p w:rsidR="00D84202" w:rsidRDefault="00D84202" w:rsidP="00D8420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SELMA GARRIDO PIMENTA</w:t>
      </w:r>
      <w:r>
        <w:rPr>
          <w:color w:val="000000"/>
          <w:sz w:val="27"/>
          <w:szCs w:val="27"/>
        </w:rPr>
        <w:br/>
        <w:t>Pró-Reitora de Graduação</w:t>
      </w:r>
    </w:p>
    <w:p w:rsidR="00D84202" w:rsidRDefault="00D84202" w:rsidP="00D8420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MARIA FIDELA LIMA NAVARRO</w:t>
      </w:r>
      <w:r>
        <w:rPr>
          <w:color w:val="000000"/>
          <w:sz w:val="27"/>
          <w:szCs w:val="27"/>
        </w:rPr>
        <w:br/>
        <w:t>Secretária Geral</w:t>
      </w:r>
    </w:p>
    <w:p w:rsidR="00BF396C" w:rsidRDefault="00BF396C"/>
    <w:sectPr w:rsidR="00BF3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2"/>
    <w:rsid w:val="00BF396C"/>
    <w:rsid w:val="00CF2170"/>
    <w:rsid w:val="00D8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84202"/>
  </w:style>
  <w:style w:type="character" w:styleId="Hyperlink">
    <w:name w:val="Hyperlink"/>
    <w:basedOn w:val="Fontepargpadro"/>
    <w:uiPriority w:val="99"/>
    <w:semiHidden/>
    <w:unhideWhenUsed/>
    <w:rsid w:val="00D842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84202"/>
  </w:style>
  <w:style w:type="character" w:styleId="Hyperlink">
    <w:name w:val="Hyperlink"/>
    <w:basedOn w:val="Fontepargpadro"/>
    <w:uiPriority w:val="99"/>
    <w:semiHidden/>
    <w:unhideWhenUsed/>
    <w:rsid w:val="00D84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.br/leginf/resol/r5264m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p.br/leginf/resol/r3740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p.br/leginf/estatuto/estatuto.html" TargetMode="External"/><Relationship Id="rId5" Type="http://schemas.openxmlformats.org/officeDocument/2006/relationships/hyperlink" Target="http://www.usp.br/leginf/resol/r6103m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2012-09-03T14:31:00Z</dcterms:created>
  <dcterms:modified xsi:type="dcterms:W3CDTF">2012-09-03T14:31:00Z</dcterms:modified>
</cp:coreProperties>
</file>