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B3" w:rsidRPr="006C7BB3" w:rsidRDefault="006C7BB3" w:rsidP="003C00C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BB3">
        <w:rPr>
          <w:rFonts w:ascii="Times New Roman" w:hAnsi="Times New Roman" w:cs="Times New Roman"/>
          <w:b/>
          <w:sz w:val="24"/>
          <w:szCs w:val="24"/>
          <w:u w:val="single"/>
        </w:rPr>
        <w:t>DES5831- Direito e políticas públicas. Fundamentos (Pós-graduação 2018)</w:t>
      </w:r>
    </w:p>
    <w:p w:rsidR="006C7BB3" w:rsidRPr="006C7BB3" w:rsidRDefault="006C7BB3" w:rsidP="003C00CC">
      <w:pPr>
        <w:jc w:val="both"/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</w:pPr>
      <w:r w:rsidRPr="006C7BB3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 xml:space="preserve">Profa. Associada Maria Paula Dallari </w:t>
      </w:r>
      <w:proofErr w:type="spellStart"/>
      <w:r w:rsidRPr="006C7BB3">
        <w:rPr>
          <w:rFonts w:ascii="Times New Roman" w:hAnsi="Times New Roman" w:cs="Times New Roman"/>
          <w:color w:val="393939"/>
          <w:sz w:val="24"/>
          <w:szCs w:val="24"/>
          <w:shd w:val="clear" w:color="auto" w:fill="FEFEFE"/>
        </w:rPr>
        <w:t>Bucci</w:t>
      </w:r>
      <w:proofErr w:type="spellEnd"/>
    </w:p>
    <w:p w:rsidR="006C7BB3" w:rsidRPr="006C7BB3" w:rsidRDefault="006C7BB3" w:rsidP="006C7BB3">
      <w:pPr>
        <w:jc w:val="right"/>
        <w:rPr>
          <w:rFonts w:ascii="Times New Roman" w:hAnsi="Times New Roman" w:cs="Times New Roman"/>
          <w:smallCaps/>
          <w:color w:val="393939"/>
          <w:sz w:val="24"/>
          <w:szCs w:val="24"/>
          <w:shd w:val="clear" w:color="auto" w:fill="FEFEFE"/>
        </w:rPr>
      </w:pPr>
      <w:r w:rsidRPr="006C7BB3">
        <w:rPr>
          <w:rFonts w:ascii="Times New Roman" w:hAnsi="Times New Roman" w:cs="Times New Roman"/>
          <w:smallCaps/>
          <w:color w:val="393939"/>
          <w:sz w:val="24"/>
          <w:szCs w:val="24"/>
          <w:shd w:val="clear" w:color="auto" w:fill="FEFEFE"/>
        </w:rPr>
        <w:t>Vinicius Duque</w:t>
      </w:r>
    </w:p>
    <w:p w:rsidR="006C7BB3" w:rsidRPr="006C7BB3" w:rsidRDefault="006C7BB3" w:rsidP="006C7BB3">
      <w:pPr>
        <w:jc w:val="right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proofErr w:type="gramStart"/>
      <w:r w:rsidRPr="006C7BB3">
        <w:rPr>
          <w:rFonts w:ascii="Times New Roman" w:hAnsi="Times New Roman" w:cs="Times New Roman"/>
          <w:smallCaps/>
          <w:color w:val="393939"/>
          <w:sz w:val="24"/>
          <w:szCs w:val="24"/>
          <w:shd w:val="clear" w:color="auto" w:fill="FEFEFE"/>
        </w:rPr>
        <w:t>N.</w:t>
      </w:r>
      <w:proofErr w:type="gramEnd"/>
      <w:r w:rsidRPr="006C7BB3">
        <w:rPr>
          <w:rFonts w:ascii="Times New Roman" w:hAnsi="Times New Roman" w:cs="Times New Roman"/>
          <w:smallCaps/>
          <w:color w:val="393939"/>
          <w:sz w:val="24"/>
          <w:szCs w:val="24"/>
          <w:shd w:val="clear" w:color="auto" w:fill="FEFEFE"/>
        </w:rPr>
        <w:t>USP 8044511</w:t>
      </w:r>
    </w:p>
    <w:p w:rsidR="006C7BB3" w:rsidRPr="006C7BB3" w:rsidRDefault="006C7BB3" w:rsidP="003C00CC">
      <w:pPr>
        <w:jc w:val="both"/>
        <w:rPr>
          <w:rFonts w:ascii="Times New Roman" w:hAnsi="Times New Roman" w:cs="Times New Roman"/>
          <w:b/>
          <w:u w:val="single"/>
        </w:rPr>
      </w:pPr>
    </w:p>
    <w:p w:rsidR="002A7BC9" w:rsidRPr="006C7BB3" w:rsidRDefault="002A7BC9" w:rsidP="003C00CC">
      <w:pPr>
        <w:jc w:val="both"/>
        <w:rPr>
          <w:rFonts w:ascii="Times New Roman" w:hAnsi="Times New Roman" w:cs="Times New Roman"/>
          <w:b/>
          <w:u w:val="single"/>
        </w:rPr>
      </w:pPr>
      <w:r w:rsidRPr="006C7BB3">
        <w:rPr>
          <w:rFonts w:ascii="Times New Roman" w:hAnsi="Times New Roman" w:cs="Times New Roman"/>
          <w:b/>
          <w:u w:val="single"/>
        </w:rPr>
        <w:t>Quadro de referência para análise jurídica de políticas públicas.</w:t>
      </w:r>
    </w:p>
    <w:p w:rsidR="002A7BC9" w:rsidRPr="006C7BB3" w:rsidRDefault="002A7BC9" w:rsidP="003C00CC">
      <w:pPr>
        <w:pStyle w:val="PargrafodaLista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93EDE" w:rsidRPr="006C7BB3" w:rsidRDefault="009B50C7" w:rsidP="003C00C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C7BB3">
        <w:rPr>
          <w:rFonts w:ascii="Times New Roman" w:hAnsi="Times New Roman" w:cs="Times New Roman"/>
          <w:b/>
        </w:rPr>
        <w:t>Nome oficial do programa de ação</w:t>
      </w:r>
    </w:p>
    <w:p w:rsidR="002A7BC9" w:rsidRPr="006C7BB3" w:rsidRDefault="002A7BC9" w:rsidP="003C00CC">
      <w:pPr>
        <w:pStyle w:val="PargrafodaLista"/>
        <w:jc w:val="both"/>
        <w:rPr>
          <w:rFonts w:ascii="Times New Roman" w:hAnsi="Times New Roman" w:cs="Times New Roman"/>
          <w:b/>
        </w:rPr>
      </w:pPr>
    </w:p>
    <w:p w:rsidR="006C4BCF" w:rsidRPr="006C7BB3" w:rsidRDefault="006C4BCF" w:rsidP="003C00CC">
      <w:pPr>
        <w:pStyle w:val="PargrafodaLista"/>
        <w:jc w:val="both"/>
        <w:rPr>
          <w:rFonts w:ascii="Times New Roman" w:hAnsi="Times New Roman" w:cs="Times New Roman"/>
        </w:rPr>
      </w:pPr>
      <w:r w:rsidRPr="006C7BB3">
        <w:rPr>
          <w:rFonts w:ascii="Times New Roman" w:hAnsi="Times New Roman" w:cs="Times New Roman"/>
        </w:rPr>
        <w:t>PROUNI (Programa Universidade para Todos)</w:t>
      </w:r>
      <w:r w:rsidR="00601754" w:rsidRPr="006C7BB3">
        <w:rPr>
          <w:rFonts w:ascii="Times New Roman" w:hAnsi="Times New Roman" w:cs="Times New Roman"/>
        </w:rPr>
        <w:t>.</w:t>
      </w:r>
    </w:p>
    <w:p w:rsidR="006C4BCF" w:rsidRPr="006C7BB3" w:rsidRDefault="006C4BCF" w:rsidP="003C00CC">
      <w:pPr>
        <w:pStyle w:val="PargrafodaLista"/>
        <w:jc w:val="both"/>
        <w:rPr>
          <w:rFonts w:ascii="Times New Roman" w:hAnsi="Times New Roman" w:cs="Times New Roman"/>
          <w:b/>
        </w:rPr>
      </w:pPr>
    </w:p>
    <w:p w:rsidR="009B50C7" w:rsidRPr="006C7BB3" w:rsidRDefault="009B50C7" w:rsidP="003C00C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C7BB3">
        <w:rPr>
          <w:rFonts w:ascii="Times New Roman" w:hAnsi="Times New Roman" w:cs="Times New Roman"/>
          <w:b/>
        </w:rPr>
        <w:t>Gestão governamental</w:t>
      </w:r>
    </w:p>
    <w:p w:rsidR="002A7BC9" w:rsidRPr="006C7BB3" w:rsidRDefault="002A7BC9" w:rsidP="003C00CC">
      <w:pPr>
        <w:pStyle w:val="PargrafodaLista"/>
        <w:jc w:val="both"/>
        <w:rPr>
          <w:rFonts w:ascii="Times New Roman" w:hAnsi="Times New Roman" w:cs="Times New Roman"/>
          <w:b/>
        </w:rPr>
      </w:pPr>
    </w:p>
    <w:p w:rsidR="006C4BCF" w:rsidRPr="006C7BB3" w:rsidRDefault="00601754" w:rsidP="003C00CC">
      <w:pPr>
        <w:pStyle w:val="PargrafodaLista"/>
        <w:jc w:val="both"/>
        <w:rPr>
          <w:rFonts w:ascii="Times New Roman" w:hAnsi="Times New Roman" w:cs="Times New Roman"/>
        </w:rPr>
      </w:pPr>
      <w:r w:rsidRPr="006C7BB3">
        <w:rPr>
          <w:rFonts w:ascii="Times New Roman" w:hAnsi="Times New Roman" w:cs="Times New Roman"/>
        </w:rPr>
        <w:t>O PROUNI foi instituído durante o primeiro mandato (2003-2006) do Governo do Presidente Luís Inácio Lula da Silva, do</w:t>
      </w:r>
      <w:r w:rsidR="006C4BCF" w:rsidRPr="006C7BB3">
        <w:rPr>
          <w:rFonts w:ascii="Times New Roman" w:hAnsi="Times New Roman" w:cs="Times New Roman"/>
        </w:rPr>
        <w:t xml:space="preserve"> Partidos dos Trabalhadores (PT)</w:t>
      </w:r>
    </w:p>
    <w:p w:rsidR="006C4BCF" w:rsidRPr="006C7BB3" w:rsidRDefault="006C4BCF" w:rsidP="003C00CC">
      <w:pPr>
        <w:pStyle w:val="PargrafodaLista"/>
        <w:jc w:val="both"/>
        <w:rPr>
          <w:rFonts w:ascii="Times New Roman" w:hAnsi="Times New Roman" w:cs="Times New Roman"/>
          <w:b/>
        </w:rPr>
      </w:pPr>
    </w:p>
    <w:p w:rsidR="009B50C7" w:rsidRPr="006C7BB3" w:rsidRDefault="009B50C7" w:rsidP="003C00C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C7BB3">
        <w:rPr>
          <w:rFonts w:ascii="Times New Roman" w:hAnsi="Times New Roman" w:cs="Times New Roman"/>
          <w:b/>
        </w:rPr>
        <w:t>Base normativa</w:t>
      </w:r>
    </w:p>
    <w:p w:rsidR="002A7BC9" w:rsidRPr="006C7BB3" w:rsidRDefault="002A7BC9" w:rsidP="003C00CC">
      <w:pPr>
        <w:pStyle w:val="PargrafodaLista"/>
        <w:jc w:val="both"/>
        <w:rPr>
          <w:rFonts w:ascii="Times New Roman" w:hAnsi="Times New Roman" w:cs="Times New Roman"/>
          <w:b/>
        </w:rPr>
      </w:pPr>
    </w:p>
    <w:p w:rsidR="006C4BCF" w:rsidRPr="006C7BB3" w:rsidRDefault="006E09A6" w:rsidP="003C00CC">
      <w:pPr>
        <w:pStyle w:val="PargrafodaLista"/>
        <w:jc w:val="both"/>
        <w:rPr>
          <w:rFonts w:ascii="Times New Roman" w:hAnsi="Times New Roman" w:cs="Times New Roman"/>
        </w:rPr>
      </w:pPr>
      <w:r w:rsidRPr="006C7BB3">
        <w:rPr>
          <w:rFonts w:ascii="Times New Roman" w:hAnsi="Times New Roman" w:cs="Times New Roman"/>
        </w:rPr>
        <w:t xml:space="preserve">O PROUNI foi instituído pela MP nº 213/2004, posteriormente convertida na </w:t>
      </w:r>
      <w:r w:rsidR="006C4BCF" w:rsidRPr="006C7BB3">
        <w:rPr>
          <w:rFonts w:ascii="Times New Roman" w:hAnsi="Times New Roman" w:cs="Times New Roman"/>
        </w:rPr>
        <w:t>Lei nº 11.096, de 2005</w:t>
      </w:r>
      <w:r w:rsidRPr="006C7BB3">
        <w:rPr>
          <w:rFonts w:ascii="Times New Roman" w:hAnsi="Times New Roman" w:cs="Times New Roman"/>
        </w:rPr>
        <w:t>.</w:t>
      </w:r>
    </w:p>
    <w:p w:rsidR="006C4BCF" w:rsidRPr="006C7BB3" w:rsidRDefault="006E09A6" w:rsidP="003C00CC">
      <w:pPr>
        <w:pStyle w:val="PargrafodaLista"/>
        <w:jc w:val="both"/>
        <w:rPr>
          <w:rFonts w:ascii="Times New Roman" w:hAnsi="Times New Roman" w:cs="Times New Roman"/>
        </w:rPr>
      </w:pPr>
      <w:r w:rsidRPr="006C7BB3">
        <w:rPr>
          <w:rFonts w:ascii="Times New Roman" w:hAnsi="Times New Roman" w:cs="Times New Roman"/>
        </w:rPr>
        <w:t>O PROUNI foi regulamentado</w:t>
      </w:r>
      <w:r w:rsidR="006C4BCF" w:rsidRPr="006C7BB3">
        <w:rPr>
          <w:rFonts w:ascii="Times New Roman" w:hAnsi="Times New Roman" w:cs="Times New Roman"/>
        </w:rPr>
        <w:t xml:space="preserve"> pelo Decreto 5.493</w:t>
      </w:r>
      <w:r w:rsidRPr="006C7BB3">
        <w:rPr>
          <w:rFonts w:ascii="Times New Roman" w:hAnsi="Times New Roman" w:cs="Times New Roman"/>
        </w:rPr>
        <w:t>,</w:t>
      </w:r>
      <w:r w:rsidR="006C4BCF" w:rsidRPr="006C7BB3">
        <w:rPr>
          <w:rFonts w:ascii="Times New Roman" w:hAnsi="Times New Roman" w:cs="Times New Roman"/>
        </w:rPr>
        <w:t xml:space="preserve"> de 2005.</w:t>
      </w:r>
    </w:p>
    <w:p w:rsidR="006E09A6" w:rsidRPr="006C7BB3" w:rsidRDefault="00601754" w:rsidP="003C00CC">
      <w:pPr>
        <w:pStyle w:val="PargrafodaLista"/>
        <w:jc w:val="both"/>
        <w:rPr>
          <w:rFonts w:ascii="Times New Roman" w:hAnsi="Times New Roman" w:cs="Times New Roman"/>
        </w:rPr>
      </w:pPr>
      <w:r w:rsidRPr="006C7BB3">
        <w:rPr>
          <w:rFonts w:ascii="Times New Roman" w:hAnsi="Times New Roman" w:cs="Times New Roman"/>
        </w:rPr>
        <w:t>A lei traz a regul</w:t>
      </w:r>
      <w:r w:rsidR="009F0873" w:rsidRPr="006C7BB3">
        <w:rPr>
          <w:rFonts w:ascii="Times New Roman" w:hAnsi="Times New Roman" w:cs="Times New Roman"/>
        </w:rPr>
        <w:t>ação dos arts. 150, IV, c e 195</w:t>
      </w:r>
      <w:r w:rsidRPr="006C7BB3">
        <w:rPr>
          <w:rFonts w:ascii="Times New Roman" w:hAnsi="Times New Roman" w:cs="Times New Roman"/>
        </w:rPr>
        <w:t xml:space="preserve">, §7º da </w:t>
      </w:r>
      <w:r w:rsidR="006E09A6" w:rsidRPr="006C7BB3">
        <w:rPr>
          <w:rFonts w:ascii="Times New Roman" w:hAnsi="Times New Roman" w:cs="Times New Roman"/>
        </w:rPr>
        <w:t>Constituição Federal</w:t>
      </w:r>
    </w:p>
    <w:p w:rsidR="009F0873" w:rsidRPr="006C7BB3" w:rsidRDefault="00601754" w:rsidP="003C00CC">
      <w:pPr>
        <w:pStyle w:val="PargrafodaLista"/>
        <w:jc w:val="both"/>
        <w:rPr>
          <w:rFonts w:ascii="Times New Roman" w:hAnsi="Times New Roman" w:cs="Times New Roman"/>
        </w:rPr>
      </w:pPr>
      <w:r w:rsidRPr="006C7BB3">
        <w:rPr>
          <w:rFonts w:ascii="Times New Roman" w:hAnsi="Times New Roman" w:cs="Times New Roman"/>
        </w:rPr>
        <w:t>Ademais, compõe o quadro normativo operacional do PROUNI, portarias do Ministério da Educação e editais da Secretaria de Educação Superior do Ministério da Educação.</w:t>
      </w:r>
    </w:p>
    <w:p w:rsidR="006C4BCF" w:rsidRPr="006C7BB3" w:rsidRDefault="006C4BCF" w:rsidP="003C00CC">
      <w:pPr>
        <w:pStyle w:val="PargrafodaLista"/>
        <w:jc w:val="both"/>
        <w:rPr>
          <w:rFonts w:ascii="Times New Roman" w:hAnsi="Times New Roman" w:cs="Times New Roman"/>
          <w:b/>
        </w:rPr>
      </w:pPr>
    </w:p>
    <w:p w:rsidR="009B50C7" w:rsidRPr="006C7BB3" w:rsidRDefault="009B50C7" w:rsidP="003C00C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C7BB3">
        <w:rPr>
          <w:rFonts w:ascii="Times New Roman" w:hAnsi="Times New Roman" w:cs="Times New Roman"/>
          <w:b/>
        </w:rPr>
        <w:t>Desenho jurídico-institucional</w:t>
      </w:r>
    </w:p>
    <w:p w:rsidR="002A7BC9" w:rsidRPr="006C7BB3" w:rsidRDefault="002A7BC9" w:rsidP="003C00CC">
      <w:pPr>
        <w:pStyle w:val="PargrafodaLista"/>
        <w:jc w:val="both"/>
        <w:rPr>
          <w:rFonts w:ascii="Times New Roman" w:hAnsi="Times New Roman" w:cs="Times New Roman"/>
          <w:b/>
        </w:rPr>
      </w:pPr>
    </w:p>
    <w:p w:rsidR="007D0FFD" w:rsidRPr="006C7BB3" w:rsidRDefault="007D0FFD" w:rsidP="003C00CC">
      <w:pPr>
        <w:pStyle w:val="PargrafodaLista"/>
        <w:jc w:val="both"/>
        <w:rPr>
          <w:rFonts w:ascii="Times New Roman" w:hAnsi="Times New Roman" w:cs="Times New Roman"/>
        </w:rPr>
      </w:pPr>
      <w:r w:rsidRPr="006C7BB3">
        <w:rPr>
          <w:rFonts w:ascii="Times New Roman" w:hAnsi="Times New Roman" w:cs="Times New Roman"/>
        </w:rPr>
        <w:t>O PROUNI objetiva a concessão de bolsas de estudo integrais e bolsas de estudo parciais (de 50% ou 25%) para estudantes de cursos de graduação e sequenciais de formação específica, em instituições privadas de ensino superior, com ou sem fins lucrativos.</w:t>
      </w:r>
    </w:p>
    <w:p w:rsidR="006C4BCF" w:rsidRPr="006C7BB3" w:rsidRDefault="006C4BCF" w:rsidP="003C00CC">
      <w:pPr>
        <w:pStyle w:val="PargrafodaLista"/>
        <w:jc w:val="both"/>
        <w:rPr>
          <w:rFonts w:ascii="Times New Roman" w:hAnsi="Times New Roman" w:cs="Times New Roman"/>
          <w:b/>
        </w:rPr>
      </w:pPr>
    </w:p>
    <w:p w:rsidR="009B50C7" w:rsidRPr="006C7BB3" w:rsidRDefault="009B50C7" w:rsidP="003C00C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C7BB3">
        <w:rPr>
          <w:rFonts w:ascii="Times New Roman" w:hAnsi="Times New Roman" w:cs="Times New Roman"/>
          <w:b/>
        </w:rPr>
        <w:t>Agentes governamentais</w:t>
      </w:r>
    </w:p>
    <w:p w:rsidR="002A7BC9" w:rsidRPr="006C7BB3" w:rsidRDefault="002A7BC9" w:rsidP="003C00CC">
      <w:pPr>
        <w:pStyle w:val="PargrafodaLista"/>
        <w:jc w:val="both"/>
        <w:rPr>
          <w:rFonts w:ascii="Times New Roman" w:hAnsi="Times New Roman" w:cs="Times New Roman"/>
          <w:b/>
        </w:rPr>
      </w:pPr>
    </w:p>
    <w:p w:rsidR="006C4BCF" w:rsidRPr="006C7BB3" w:rsidRDefault="00601754" w:rsidP="003C00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C7BB3">
        <w:rPr>
          <w:rFonts w:ascii="Times New Roman" w:eastAsia="Times New Roman" w:hAnsi="Times New Roman" w:cs="Times New Roman"/>
          <w:color w:val="000000"/>
          <w:lang w:eastAsia="pt-BR"/>
        </w:rPr>
        <w:t xml:space="preserve">O PROUNI é gerido pelo </w:t>
      </w:r>
      <w:r w:rsidRPr="006C7BB3">
        <w:rPr>
          <w:rFonts w:ascii="Times New Roman" w:eastAsia="Times New Roman" w:hAnsi="Times New Roman" w:cs="Times New Roman"/>
          <w:b/>
          <w:color w:val="000000"/>
          <w:lang w:eastAsia="pt-BR"/>
        </w:rPr>
        <w:t>Ministério da Educação</w:t>
      </w:r>
      <w:r w:rsidRPr="006C7BB3">
        <w:rPr>
          <w:rFonts w:ascii="Times New Roman" w:eastAsia="Times New Roman" w:hAnsi="Times New Roman" w:cs="Times New Roman"/>
          <w:color w:val="000000"/>
          <w:lang w:eastAsia="pt-BR"/>
        </w:rPr>
        <w:t>, que o faz por intermédio da</w:t>
      </w:r>
      <w:r w:rsidR="006C4BCF" w:rsidRPr="006C7BB3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C7BB3">
        <w:rPr>
          <w:rFonts w:ascii="Times New Roman" w:eastAsia="Times New Roman" w:hAnsi="Times New Roman" w:cs="Times New Roman"/>
          <w:color w:val="000000"/>
          <w:lang w:eastAsia="pt-BR"/>
        </w:rPr>
        <w:t xml:space="preserve">Secretaria de Educação Superior. Ao MEC compete definir </w:t>
      </w:r>
      <w:r w:rsidR="003C00CC" w:rsidRPr="006C7BB3">
        <w:rPr>
          <w:rFonts w:ascii="Times New Roman" w:hAnsi="Times New Roman" w:cs="Times New Roman"/>
        </w:rPr>
        <w:t>p</w:t>
      </w:r>
      <w:r w:rsidR="003C00CC" w:rsidRPr="006C7BB3">
        <w:rPr>
          <w:rFonts w:ascii="Times New Roman" w:eastAsia="Times New Roman" w:hAnsi="Times New Roman" w:cs="Times New Roman"/>
          <w:color w:val="000000"/>
          <w:lang w:eastAsia="pt-BR"/>
        </w:rPr>
        <w:t>rocedimentos operacionais para a adesão ao PROUNI e seleção dos bolsistas, especialmente quanto à definição de nota de corte e aos métodos para preenchimento de vagas eventualmente remanescentes</w:t>
      </w:r>
      <w:r w:rsidRPr="006C7BB3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="007D0FFD" w:rsidRPr="006C7BB3">
        <w:rPr>
          <w:rFonts w:ascii="Times New Roman" w:eastAsia="Times New Roman" w:hAnsi="Times New Roman" w:cs="Times New Roman"/>
          <w:color w:val="000000"/>
          <w:lang w:eastAsia="pt-BR"/>
        </w:rPr>
        <w:t>regulamentar a adesão de instituições de ensino superior ao PROUNI, bem como sua desvinculação, quando necessária.</w:t>
      </w:r>
      <w:r w:rsidR="003C00CC" w:rsidRPr="006C7BB3">
        <w:rPr>
          <w:rFonts w:ascii="Times New Roman" w:hAnsi="Times New Roman" w:cs="Times New Roman"/>
        </w:rPr>
        <w:t xml:space="preserve"> </w:t>
      </w:r>
    </w:p>
    <w:p w:rsidR="006C4BCF" w:rsidRPr="006C7BB3" w:rsidRDefault="003C00CC" w:rsidP="003C00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C7BB3">
        <w:rPr>
          <w:rFonts w:ascii="Times New Roman" w:eastAsia="Times New Roman" w:hAnsi="Times New Roman" w:cs="Times New Roman"/>
          <w:color w:val="000000"/>
          <w:lang w:eastAsia="pt-BR"/>
        </w:rPr>
        <w:t xml:space="preserve">Além disso, o </w:t>
      </w:r>
      <w:r w:rsidR="006C4BCF" w:rsidRPr="006C7BB3">
        <w:rPr>
          <w:rFonts w:ascii="Times New Roman" w:eastAsia="Times New Roman" w:hAnsi="Times New Roman" w:cs="Times New Roman"/>
          <w:b/>
          <w:color w:val="000000"/>
          <w:lang w:eastAsia="pt-BR"/>
        </w:rPr>
        <w:t>Ministério da Fazenda</w:t>
      </w:r>
      <w:r w:rsidRPr="006C7BB3">
        <w:rPr>
          <w:rFonts w:ascii="Times New Roman" w:eastAsia="Times New Roman" w:hAnsi="Times New Roman" w:cs="Times New Roman"/>
          <w:color w:val="000000"/>
          <w:lang w:eastAsia="pt-BR"/>
        </w:rPr>
        <w:t xml:space="preserve">, através da </w:t>
      </w:r>
      <w:r w:rsidR="006C4BCF" w:rsidRPr="006C7BB3">
        <w:rPr>
          <w:rFonts w:ascii="Times New Roman" w:eastAsia="Times New Roman" w:hAnsi="Times New Roman" w:cs="Times New Roman"/>
          <w:color w:val="000000"/>
          <w:lang w:eastAsia="pt-BR"/>
        </w:rPr>
        <w:t>Secretaria da Receita Federal</w:t>
      </w:r>
      <w:r w:rsidRPr="006C7BB3">
        <w:rPr>
          <w:rFonts w:ascii="Times New Roman" w:eastAsia="Times New Roman" w:hAnsi="Times New Roman" w:cs="Times New Roman"/>
          <w:color w:val="000000"/>
          <w:lang w:eastAsia="pt-BR"/>
        </w:rPr>
        <w:t xml:space="preserve"> e o </w:t>
      </w:r>
      <w:r w:rsidRPr="006C7BB3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Ministério da </w:t>
      </w:r>
      <w:r w:rsidR="006C4BCF" w:rsidRPr="006C7BB3">
        <w:rPr>
          <w:rFonts w:ascii="Times New Roman" w:eastAsia="Times New Roman" w:hAnsi="Times New Roman" w:cs="Times New Roman"/>
          <w:b/>
          <w:color w:val="000000"/>
          <w:lang w:eastAsia="pt-BR"/>
        </w:rPr>
        <w:t>Previdência Soci</w:t>
      </w:r>
      <w:r w:rsidRPr="006C7BB3">
        <w:rPr>
          <w:rFonts w:ascii="Times New Roman" w:eastAsia="Times New Roman" w:hAnsi="Times New Roman" w:cs="Times New Roman"/>
          <w:b/>
          <w:color w:val="000000"/>
          <w:lang w:eastAsia="pt-BR"/>
        </w:rPr>
        <w:t>al</w:t>
      </w:r>
      <w:r w:rsidRPr="006C7BB3">
        <w:rPr>
          <w:rFonts w:ascii="Times New Roman" w:eastAsia="Times New Roman" w:hAnsi="Times New Roman" w:cs="Times New Roman"/>
          <w:color w:val="000000"/>
          <w:lang w:eastAsia="pt-BR"/>
        </w:rPr>
        <w:t xml:space="preserve"> (que hoje compõe o Ministério do Trabalho) detém atribuições difusas no âmbito do PROUNI, relacionadas a dimensão econômica financeira do programa. Ao Ministério da Previdência Social cabe deferir as isenções relativas à Entidades Beneficentes da Assistência Social.</w:t>
      </w:r>
    </w:p>
    <w:p w:rsidR="006C4BCF" w:rsidRPr="006C7BB3" w:rsidRDefault="006C4BCF" w:rsidP="003C00CC">
      <w:pPr>
        <w:pStyle w:val="PargrafodaLista"/>
        <w:jc w:val="both"/>
        <w:rPr>
          <w:rFonts w:ascii="Times New Roman" w:hAnsi="Times New Roman" w:cs="Times New Roman"/>
          <w:b/>
        </w:rPr>
      </w:pPr>
    </w:p>
    <w:p w:rsidR="006C4BCF" w:rsidRPr="006C7BB3" w:rsidRDefault="006C4BCF" w:rsidP="003C00CC">
      <w:pPr>
        <w:pStyle w:val="PargrafodaLista"/>
        <w:jc w:val="both"/>
        <w:rPr>
          <w:rFonts w:ascii="Times New Roman" w:hAnsi="Times New Roman" w:cs="Times New Roman"/>
          <w:b/>
        </w:rPr>
      </w:pPr>
    </w:p>
    <w:p w:rsidR="009B50C7" w:rsidRPr="006C7BB3" w:rsidRDefault="009B50C7" w:rsidP="003C00C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C7BB3">
        <w:rPr>
          <w:rFonts w:ascii="Times New Roman" w:hAnsi="Times New Roman" w:cs="Times New Roman"/>
          <w:b/>
        </w:rPr>
        <w:t>Agentes não governamentais</w:t>
      </w:r>
    </w:p>
    <w:p w:rsidR="002A7BC9" w:rsidRPr="006C7BB3" w:rsidRDefault="002A7BC9" w:rsidP="003C00CC">
      <w:pPr>
        <w:pStyle w:val="PargrafodaLista"/>
        <w:jc w:val="both"/>
        <w:rPr>
          <w:rFonts w:ascii="Times New Roman" w:hAnsi="Times New Roman" w:cs="Times New Roman"/>
          <w:b/>
        </w:rPr>
      </w:pPr>
    </w:p>
    <w:p w:rsidR="006C4BCF" w:rsidRPr="006C7BB3" w:rsidRDefault="003C00CC" w:rsidP="003C00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C7BB3">
        <w:rPr>
          <w:rFonts w:ascii="Times New Roman" w:eastAsia="Times New Roman" w:hAnsi="Times New Roman" w:cs="Times New Roman"/>
          <w:color w:val="000000"/>
          <w:lang w:eastAsia="pt-BR"/>
        </w:rPr>
        <w:t xml:space="preserve">As </w:t>
      </w:r>
      <w:r w:rsidR="006C4BCF" w:rsidRPr="006C7BB3">
        <w:rPr>
          <w:rFonts w:ascii="Times New Roman" w:eastAsia="Times New Roman" w:hAnsi="Times New Roman" w:cs="Times New Roman"/>
          <w:color w:val="000000"/>
          <w:lang w:eastAsia="pt-BR"/>
        </w:rPr>
        <w:t>Instituições</w:t>
      </w:r>
      <w:r w:rsidRPr="006C7BB3">
        <w:rPr>
          <w:rFonts w:ascii="Times New Roman" w:eastAsia="Times New Roman" w:hAnsi="Times New Roman" w:cs="Times New Roman"/>
          <w:color w:val="000000"/>
          <w:lang w:eastAsia="pt-BR"/>
        </w:rPr>
        <w:t xml:space="preserve"> Privadas</w:t>
      </w:r>
      <w:r w:rsidR="006C4BCF" w:rsidRPr="006C7BB3">
        <w:rPr>
          <w:rFonts w:ascii="Times New Roman" w:eastAsia="Times New Roman" w:hAnsi="Times New Roman" w:cs="Times New Roman"/>
          <w:color w:val="000000"/>
          <w:lang w:eastAsia="pt-BR"/>
        </w:rPr>
        <w:t xml:space="preserve"> de Ensino Superior</w:t>
      </w:r>
      <w:r w:rsidRPr="006C7BB3">
        <w:rPr>
          <w:rFonts w:ascii="Times New Roman" w:eastAsia="Times New Roman" w:hAnsi="Times New Roman" w:cs="Times New Roman"/>
          <w:color w:val="000000"/>
          <w:lang w:eastAsia="pt-BR"/>
        </w:rPr>
        <w:t>, que ao aderirem ao PROUNI devem oferecer bolsas de estudo integrais ou parciais (via de regra de 50%), considerando os parâmetros estabelecidos em Lei e o pactuado no Termo de Adesão.</w:t>
      </w:r>
    </w:p>
    <w:p w:rsidR="003C00CC" w:rsidRPr="006C7BB3" w:rsidRDefault="003C00CC" w:rsidP="003C00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C7BB3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As Instituições de Ensino Superior deverão realizar o acompanhamento dos alunos bolsistas, informando o controle de frequência mínima obrigatória dos bolsistas, </w:t>
      </w:r>
      <w:r w:rsidR="00F90307" w:rsidRPr="006C7BB3">
        <w:rPr>
          <w:rFonts w:ascii="Times New Roman" w:eastAsia="Times New Roman" w:hAnsi="Times New Roman" w:cs="Times New Roman"/>
          <w:color w:val="000000"/>
          <w:lang w:eastAsia="pt-BR"/>
        </w:rPr>
        <w:t>o aproveitamento dos bolsistas, através de seu desempenho acadêmico no curso</w:t>
      </w:r>
      <w:r w:rsidR="00F90307" w:rsidRPr="006C7BB3">
        <w:rPr>
          <w:rFonts w:ascii="Times New Roman" w:hAnsi="Times New Roman" w:cs="Times New Roman"/>
        </w:rPr>
        <w:t xml:space="preserve"> e a </w:t>
      </w:r>
      <w:r w:rsidR="00F90307" w:rsidRPr="006C7BB3">
        <w:rPr>
          <w:rFonts w:ascii="Times New Roman" w:eastAsia="Times New Roman" w:hAnsi="Times New Roman" w:cs="Times New Roman"/>
          <w:color w:val="000000"/>
          <w:lang w:eastAsia="pt-BR"/>
        </w:rPr>
        <w:t>evasão de alunos por curso e turno.</w:t>
      </w:r>
    </w:p>
    <w:p w:rsidR="006C4BCF" w:rsidRPr="006C7BB3" w:rsidRDefault="006C4BCF" w:rsidP="003C00CC">
      <w:pPr>
        <w:pStyle w:val="PargrafodaLista"/>
        <w:jc w:val="both"/>
        <w:rPr>
          <w:rFonts w:ascii="Times New Roman" w:hAnsi="Times New Roman" w:cs="Times New Roman"/>
          <w:b/>
        </w:rPr>
      </w:pPr>
    </w:p>
    <w:p w:rsidR="006C4BCF" w:rsidRPr="006C7BB3" w:rsidRDefault="006C4BCF" w:rsidP="003C00CC">
      <w:pPr>
        <w:pStyle w:val="PargrafodaLista"/>
        <w:jc w:val="both"/>
        <w:rPr>
          <w:rFonts w:ascii="Times New Roman" w:hAnsi="Times New Roman" w:cs="Times New Roman"/>
          <w:b/>
        </w:rPr>
      </w:pPr>
    </w:p>
    <w:p w:rsidR="009B50C7" w:rsidRPr="006C7BB3" w:rsidRDefault="009B50C7" w:rsidP="003C00C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C7BB3">
        <w:rPr>
          <w:rFonts w:ascii="Times New Roman" w:hAnsi="Times New Roman" w:cs="Times New Roman"/>
          <w:b/>
        </w:rPr>
        <w:t>Mecanismos jurídicos de articulação</w:t>
      </w:r>
    </w:p>
    <w:p w:rsidR="002A7BC9" w:rsidRPr="006C7BB3" w:rsidRDefault="002A7BC9" w:rsidP="003C00CC">
      <w:pPr>
        <w:pStyle w:val="PargrafodaLista"/>
        <w:jc w:val="both"/>
        <w:rPr>
          <w:rFonts w:ascii="Times New Roman" w:hAnsi="Times New Roman" w:cs="Times New Roman"/>
          <w:b/>
        </w:rPr>
      </w:pPr>
    </w:p>
    <w:p w:rsidR="00F90307" w:rsidRPr="006C7BB3" w:rsidRDefault="00F90307" w:rsidP="003C00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C7BB3">
        <w:rPr>
          <w:rFonts w:ascii="Times New Roman" w:eastAsia="Times New Roman" w:hAnsi="Times New Roman" w:cs="Times New Roman"/>
          <w:color w:val="000000"/>
          <w:lang w:eastAsia="pt-BR"/>
        </w:rPr>
        <w:t>A Gestão do PROUNI se dá através da Secretara de Educação Superior do Ministério da Educação. A estratégia de articulação do PROUNI se dá através da concessão de isenções constitucionais às Instituições de Ensino Superior aderentes de determinados tributos (IRPJ, CSLL, PIS e COFINS).</w:t>
      </w:r>
    </w:p>
    <w:p w:rsidR="006C4BCF" w:rsidRPr="006C7BB3" w:rsidRDefault="00F90307" w:rsidP="003C00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C7BB3">
        <w:rPr>
          <w:rFonts w:ascii="Times New Roman" w:eastAsia="Times New Roman" w:hAnsi="Times New Roman" w:cs="Times New Roman"/>
          <w:color w:val="000000"/>
          <w:lang w:eastAsia="pt-BR"/>
        </w:rPr>
        <w:t xml:space="preserve">Outro mecanismo a se destacar é a criação de </w:t>
      </w:r>
      <w:r w:rsidR="006C4BCF" w:rsidRPr="006C7BB3">
        <w:rPr>
          <w:rFonts w:ascii="Times New Roman" w:eastAsia="Times New Roman" w:hAnsi="Times New Roman" w:cs="Times New Roman"/>
          <w:color w:val="000000"/>
          <w:lang w:eastAsia="pt-BR"/>
        </w:rPr>
        <w:t>Grupo Interministerial (art.16, § único)</w:t>
      </w:r>
      <w:r w:rsidRPr="006C7BB3">
        <w:rPr>
          <w:rFonts w:ascii="Times New Roman" w:eastAsia="Times New Roman" w:hAnsi="Times New Roman" w:cs="Times New Roman"/>
          <w:color w:val="000000"/>
          <w:lang w:eastAsia="pt-BR"/>
        </w:rPr>
        <w:t xml:space="preserve"> para acompanhamento da evolução da renúncia fiscal.</w:t>
      </w:r>
    </w:p>
    <w:p w:rsidR="006C4BCF" w:rsidRPr="006C7BB3" w:rsidRDefault="006C4BCF" w:rsidP="003C00CC">
      <w:pPr>
        <w:pStyle w:val="PargrafodaLista"/>
        <w:jc w:val="both"/>
        <w:rPr>
          <w:rFonts w:ascii="Times New Roman" w:hAnsi="Times New Roman" w:cs="Times New Roman"/>
          <w:b/>
        </w:rPr>
      </w:pPr>
    </w:p>
    <w:p w:rsidR="006C4BCF" w:rsidRPr="006C7BB3" w:rsidRDefault="006C4BCF" w:rsidP="003C00CC">
      <w:pPr>
        <w:pStyle w:val="PargrafodaLista"/>
        <w:jc w:val="both"/>
        <w:rPr>
          <w:rFonts w:ascii="Times New Roman" w:hAnsi="Times New Roman" w:cs="Times New Roman"/>
          <w:b/>
        </w:rPr>
      </w:pPr>
    </w:p>
    <w:p w:rsidR="009B50C7" w:rsidRPr="006C7BB3" w:rsidRDefault="009B50C7" w:rsidP="003C00C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C7BB3">
        <w:rPr>
          <w:rFonts w:ascii="Times New Roman" w:hAnsi="Times New Roman" w:cs="Times New Roman"/>
          <w:b/>
        </w:rPr>
        <w:t>Escala e público-alvo</w:t>
      </w:r>
    </w:p>
    <w:p w:rsidR="002A7BC9" w:rsidRPr="006C7BB3" w:rsidRDefault="002A7BC9" w:rsidP="003C00CC">
      <w:pPr>
        <w:pStyle w:val="PargrafodaLista"/>
        <w:jc w:val="both"/>
        <w:rPr>
          <w:rFonts w:ascii="Times New Roman" w:hAnsi="Times New Roman" w:cs="Times New Roman"/>
          <w:b/>
        </w:rPr>
      </w:pPr>
    </w:p>
    <w:p w:rsidR="006C4BCF" w:rsidRPr="006C7BB3" w:rsidRDefault="009F0873" w:rsidP="003C00CC">
      <w:pPr>
        <w:pStyle w:val="PargrafodaLista"/>
        <w:jc w:val="both"/>
        <w:rPr>
          <w:rFonts w:ascii="Times New Roman" w:hAnsi="Times New Roman" w:cs="Times New Roman"/>
        </w:rPr>
      </w:pPr>
      <w:r w:rsidRPr="006C7BB3">
        <w:rPr>
          <w:rFonts w:ascii="Times New Roman" w:hAnsi="Times New Roman" w:cs="Times New Roman"/>
        </w:rPr>
        <w:t xml:space="preserve">O PROUNI é </w:t>
      </w:r>
      <w:r w:rsidR="00C8609D" w:rsidRPr="006C7BB3">
        <w:rPr>
          <w:rFonts w:ascii="Times New Roman" w:hAnsi="Times New Roman" w:cs="Times New Roman"/>
        </w:rPr>
        <w:t>um programa de âmbito nacional direcionado às seguintes</w:t>
      </w:r>
    </w:p>
    <w:p w:rsidR="006C4BCF" w:rsidRPr="006C7BB3" w:rsidRDefault="006C4BCF" w:rsidP="003C00CC">
      <w:pPr>
        <w:pStyle w:val="PargrafodaLista"/>
        <w:jc w:val="both"/>
        <w:rPr>
          <w:rFonts w:ascii="Times New Roman" w:hAnsi="Times New Roman" w:cs="Times New Roman"/>
        </w:rPr>
      </w:pPr>
      <w:r w:rsidRPr="006C7BB3">
        <w:rPr>
          <w:rFonts w:ascii="Times New Roman" w:hAnsi="Times New Roman" w:cs="Times New Roman"/>
        </w:rPr>
        <w:t>I - a estudante que tenha cursado o ensino médio completo em escola da rede pública ou em instituições privadas na condição de bolsista integral</w:t>
      </w:r>
      <w:r w:rsidR="00C8609D" w:rsidRPr="006C7BB3">
        <w:rPr>
          <w:rFonts w:ascii="Times New Roman" w:hAnsi="Times New Roman" w:cs="Times New Roman"/>
        </w:rPr>
        <w:t>, cuja renda familiar mensal per capita não exceda o valor de até 3 (três) salários-mínimos</w:t>
      </w:r>
      <w:r w:rsidRPr="006C7BB3">
        <w:rPr>
          <w:rFonts w:ascii="Times New Roman" w:hAnsi="Times New Roman" w:cs="Times New Roman"/>
        </w:rPr>
        <w:t>;</w:t>
      </w:r>
    </w:p>
    <w:p w:rsidR="006C4BCF" w:rsidRPr="006C7BB3" w:rsidRDefault="006C4BCF" w:rsidP="003C00CC">
      <w:pPr>
        <w:pStyle w:val="PargrafodaLista"/>
        <w:jc w:val="both"/>
        <w:rPr>
          <w:rFonts w:ascii="Times New Roman" w:hAnsi="Times New Roman" w:cs="Times New Roman"/>
        </w:rPr>
      </w:pPr>
      <w:r w:rsidRPr="006C7BB3">
        <w:rPr>
          <w:rFonts w:ascii="Times New Roman" w:hAnsi="Times New Roman" w:cs="Times New Roman"/>
        </w:rPr>
        <w:t xml:space="preserve"> II - a estudante portador de</w:t>
      </w:r>
      <w:r w:rsidR="00C8609D" w:rsidRPr="006C7BB3">
        <w:rPr>
          <w:rFonts w:ascii="Times New Roman" w:hAnsi="Times New Roman" w:cs="Times New Roman"/>
        </w:rPr>
        <w:t xml:space="preserve"> deficiência, cuja renda familiar mensal per capita não exceda o valor de até 3 (três) salários-mínimos</w:t>
      </w:r>
    </w:p>
    <w:p w:rsidR="006C4BCF" w:rsidRPr="006C7BB3" w:rsidRDefault="006C4BCF" w:rsidP="003C00CC">
      <w:pPr>
        <w:pStyle w:val="PargrafodaLista"/>
        <w:jc w:val="both"/>
        <w:rPr>
          <w:rFonts w:ascii="Times New Roman" w:hAnsi="Times New Roman" w:cs="Times New Roman"/>
        </w:rPr>
      </w:pPr>
      <w:r w:rsidRPr="006C7BB3">
        <w:rPr>
          <w:rFonts w:ascii="Times New Roman" w:hAnsi="Times New Roman" w:cs="Times New Roman"/>
        </w:rPr>
        <w:t xml:space="preserve">III - a professor da rede pública de ensino, para os cursos de licenciatura, normal superior e pedagogia, destinados à formação do </w:t>
      </w:r>
      <w:r w:rsidR="00C8609D" w:rsidRPr="006C7BB3">
        <w:rPr>
          <w:rFonts w:ascii="Times New Roman" w:hAnsi="Times New Roman" w:cs="Times New Roman"/>
        </w:rPr>
        <w:t>magistério da educação básica,</w:t>
      </w:r>
    </w:p>
    <w:p w:rsidR="006C4BCF" w:rsidRPr="006C7BB3" w:rsidRDefault="006C4BCF" w:rsidP="003C00CC">
      <w:pPr>
        <w:pStyle w:val="PargrafodaLista"/>
        <w:jc w:val="both"/>
        <w:rPr>
          <w:rFonts w:ascii="Times New Roman" w:hAnsi="Times New Roman" w:cs="Times New Roman"/>
          <w:b/>
        </w:rPr>
      </w:pPr>
    </w:p>
    <w:p w:rsidR="009B50C7" w:rsidRPr="006C7BB3" w:rsidRDefault="009B50C7" w:rsidP="003C00C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C7BB3">
        <w:rPr>
          <w:rFonts w:ascii="Times New Roman" w:hAnsi="Times New Roman" w:cs="Times New Roman"/>
          <w:b/>
        </w:rPr>
        <w:t>Dimensão econômico-financeira do programa</w:t>
      </w:r>
    </w:p>
    <w:p w:rsidR="00327EE3" w:rsidRPr="006C7BB3" w:rsidRDefault="003F399F" w:rsidP="003C00CC">
      <w:pPr>
        <w:pStyle w:val="PargrafodaLista"/>
        <w:jc w:val="both"/>
        <w:rPr>
          <w:rFonts w:ascii="Times New Roman" w:hAnsi="Times New Roman" w:cs="Times New Roman"/>
        </w:rPr>
      </w:pPr>
      <w:r w:rsidRPr="006C7BB3">
        <w:rPr>
          <w:rFonts w:ascii="Times New Roman" w:hAnsi="Times New Roman" w:cs="Times New Roman"/>
        </w:rPr>
        <w:t>O PROUNI utiliza como estratégia mecanismo de incentivos baseado em isenções constitucionais</w:t>
      </w:r>
      <w:r w:rsidR="00327EE3" w:rsidRPr="006C7BB3">
        <w:rPr>
          <w:rFonts w:ascii="Times New Roman" w:hAnsi="Times New Roman" w:cs="Times New Roman"/>
        </w:rPr>
        <w:t xml:space="preserve"> para instituições de ensino superior.</w:t>
      </w:r>
    </w:p>
    <w:p w:rsidR="002A7BC9" w:rsidRPr="006C7BB3" w:rsidRDefault="00327EE3" w:rsidP="003C00CC">
      <w:pPr>
        <w:pStyle w:val="PargrafodaLista"/>
        <w:jc w:val="both"/>
        <w:rPr>
          <w:rFonts w:ascii="Times New Roman" w:hAnsi="Times New Roman" w:cs="Times New Roman"/>
        </w:rPr>
      </w:pPr>
      <w:r w:rsidRPr="006C7BB3">
        <w:rPr>
          <w:rFonts w:ascii="Times New Roman" w:hAnsi="Times New Roman" w:cs="Times New Roman"/>
        </w:rPr>
        <w:t>Assim, o programa se baseia em renúncias fiscais com contrapartida de bolsas</w:t>
      </w:r>
    </w:p>
    <w:p w:rsidR="007D0FFD" w:rsidRPr="006C7BB3" w:rsidRDefault="007D0FFD" w:rsidP="003C00CC">
      <w:pPr>
        <w:pStyle w:val="PargrafodaLista"/>
        <w:ind w:left="0"/>
        <w:jc w:val="both"/>
        <w:rPr>
          <w:rFonts w:ascii="Times New Roman" w:hAnsi="Times New Roman" w:cs="Times New Roman"/>
          <w:b/>
        </w:rPr>
      </w:pPr>
    </w:p>
    <w:p w:rsidR="007D0FFD" w:rsidRPr="006C7BB3" w:rsidRDefault="007D0FFD" w:rsidP="003C00CC">
      <w:pPr>
        <w:pStyle w:val="PargrafodaLista"/>
        <w:ind w:left="0"/>
        <w:jc w:val="both"/>
        <w:rPr>
          <w:rFonts w:ascii="Times New Roman" w:hAnsi="Times New Roman" w:cs="Times New Roman"/>
          <w:i/>
        </w:rPr>
      </w:pPr>
      <w:r w:rsidRPr="006C7BB3">
        <w:rPr>
          <w:rFonts w:ascii="Times New Roman" w:hAnsi="Times New Roman" w:cs="Times New Roman"/>
          <w:i/>
        </w:rPr>
        <w:t>I - Imposto de Renda das Pessoas Jurídicas (IRPJ)</w:t>
      </w:r>
    </w:p>
    <w:p w:rsidR="007D0FFD" w:rsidRPr="006C7BB3" w:rsidRDefault="007D0FFD" w:rsidP="003C00CC">
      <w:pPr>
        <w:jc w:val="both"/>
        <w:rPr>
          <w:rFonts w:ascii="Times New Roman" w:hAnsi="Times New Roman" w:cs="Times New Roman"/>
          <w:i/>
        </w:rPr>
      </w:pPr>
      <w:r w:rsidRPr="006C7BB3">
        <w:rPr>
          <w:rFonts w:ascii="Times New Roman" w:hAnsi="Times New Roman" w:cs="Times New Roman"/>
          <w:i/>
        </w:rPr>
        <w:t>II - Contribuição Social sobre o Lucro Líquido (CSLL)</w:t>
      </w:r>
    </w:p>
    <w:p w:rsidR="007D0FFD" w:rsidRPr="006C7BB3" w:rsidRDefault="007D0FFD" w:rsidP="003C00CC">
      <w:pPr>
        <w:jc w:val="both"/>
        <w:rPr>
          <w:rFonts w:ascii="Times New Roman" w:hAnsi="Times New Roman" w:cs="Times New Roman"/>
          <w:i/>
        </w:rPr>
      </w:pPr>
      <w:r w:rsidRPr="006C7BB3">
        <w:rPr>
          <w:rFonts w:ascii="Times New Roman" w:hAnsi="Times New Roman" w:cs="Times New Roman"/>
          <w:i/>
        </w:rPr>
        <w:t>III - Contribuição Social para Financiamento da Seguridade Social (COFINS)</w:t>
      </w:r>
    </w:p>
    <w:p w:rsidR="00C8609D" w:rsidRPr="006C7BB3" w:rsidRDefault="007D0FFD" w:rsidP="003C00CC">
      <w:pPr>
        <w:jc w:val="both"/>
        <w:rPr>
          <w:rFonts w:ascii="Times New Roman" w:hAnsi="Times New Roman" w:cs="Times New Roman"/>
          <w:i/>
        </w:rPr>
      </w:pPr>
      <w:r w:rsidRPr="006C7BB3">
        <w:rPr>
          <w:rFonts w:ascii="Times New Roman" w:hAnsi="Times New Roman" w:cs="Times New Roman"/>
          <w:i/>
        </w:rPr>
        <w:t>IV - Contribuição para o Programa de Integração Social (PIS)</w:t>
      </w:r>
    </w:p>
    <w:p w:rsidR="00F90307" w:rsidRPr="006C7BB3" w:rsidRDefault="00F90307" w:rsidP="003C00CC">
      <w:pPr>
        <w:jc w:val="both"/>
        <w:rPr>
          <w:rFonts w:ascii="Times New Roman" w:hAnsi="Times New Roman" w:cs="Times New Roman"/>
        </w:rPr>
      </w:pPr>
    </w:p>
    <w:p w:rsidR="00F90307" w:rsidRPr="006C7BB3" w:rsidRDefault="00F90307" w:rsidP="003C00CC">
      <w:pPr>
        <w:jc w:val="both"/>
        <w:rPr>
          <w:rFonts w:ascii="Times New Roman" w:hAnsi="Times New Roman" w:cs="Times New Roman"/>
        </w:rPr>
      </w:pPr>
      <w:r w:rsidRPr="006C7BB3">
        <w:rPr>
          <w:rFonts w:ascii="Times New Roman" w:hAnsi="Times New Roman" w:cs="Times New Roman"/>
        </w:rPr>
        <w:tab/>
        <w:t>A Secretaria da Receita Federal indica os seguintes valor de renúncia fiscal para o período de 2006-2016.</w:t>
      </w:r>
    </w:p>
    <w:p w:rsidR="00AA66EB" w:rsidRPr="006C7BB3" w:rsidRDefault="00F90307" w:rsidP="003C00CC">
      <w:pPr>
        <w:jc w:val="both"/>
        <w:rPr>
          <w:rFonts w:ascii="Times New Roman" w:hAnsi="Times New Roman" w:cs="Times New Roman"/>
        </w:rPr>
      </w:pPr>
      <w:r w:rsidRPr="006C7BB3">
        <w:rPr>
          <w:rFonts w:ascii="Times New Roman" w:hAnsi="Times New Roman" w:cs="Times New Roman"/>
        </w:rPr>
        <w:t xml:space="preserve"> </w:t>
      </w:r>
    </w:p>
    <w:tbl>
      <w:tblPr>
        <w:tblpPr w:leftFromText="141" w:rightFromText="141" w:vertAnchor="text" w:tblpY="1"/>
        <w:tblOverlap w:val="never"/>
        <w:tblW w:w="3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271"/>
      </w:tblGrid>
      <w:tr w:rsidR="00AA66EB" w:rsidRPr="006C7BB3" w:rsidTr="000E2B9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A66EB" w:rsidRPr="006C7BB3" w:rsidRDefault="00AA66EB" w:rsidP="000E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7BB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2006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A66EB" w:rsidRPr="006C7BB3" w:rsidRDefault="00AA66EB" w:rsidP="000E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7BB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R$      215.890.230,00 </w:t>
            </w:r>
          </w:p>
        </w:tc>
      </w:tr>
      <w:tr w:rsidR="00AA66EB" w:rsidRPr="006C7BB3" w:rsidTr="000E2B9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EB" w:rsidRPr="006C7BB3" w:rsidRDefault="00AA66EB" w:rsidP="000E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7BB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2007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EB" w:rsidRPr="006C7BB3" w:rsidRDefault="00AA66EB" w:rsidP="000E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7BB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R$      353.005.650,00 </w:t>
            </w:r>
          </w:p>
        </w:tc>
      </w:tr>
      <w:tr w:rsidR="00AA66EB" w:rsidRPr="006C7BB3" w:rsidTr="000E2B9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A66EB" w:rsidRPr="006C7BB3" w:rsidRDefault="00AA66EB" w:rsidP="000E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7BB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2008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A66EB" w:rsidRPr="006C7BB3" w:rsidRDefault="00AA66EB" w:rsidP="000E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7BB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R$      434.173.655,00 </w:t>
            </w:r>
          </w:p>
        </w:tc>
      </w:tr>
      <w:tr w:rsidR="00AA66EB" w:rsidRPr="006C7BB3" w:rsidTr="000E2B9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EB" w:rsidRPr="006C7BB3" w:rsidRDefault="00AA66EB" w:rsidP="000E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7BB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2009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EB" w:rsidRPr="006C7BB3" w:rsidRDefault="00AA66EB" w:rsidP="000E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7BB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R$      530.599.079,00 </w:t>
            </w:r>
          </w:p>
        </w:tc>
      </w:tr>
      <w:tr w:rsidR="00AA66EB" w:rsidRPr="006C7BB3" w:rsidTr="000E2B9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A66EB" w:rsidRPr="006C7BB3" w:rsidRDefault="00AA66EB" w:rsidP="000E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7BB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A66EB" w:rsidRPr="006C7BB3" w:rsidRDefault="00AA66EB" w:rsidP="000E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7BB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R$      578.115.899,00 </w:t>
            </w:r>
          </w:p>
        </w:tc>
      </w:tr>
      <w:tr w:rsidR="00AA66EB" w:rsidRPr="006C7BB3" w:rsidTr="000E2B9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EB" w:rsidRPr="006C7BB3" w:rsidRDefault="00AA66EB" w:rsidP="000E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7BB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EB" w:rsidRPr="006C7BB3" w:rsidRDefault="00AA66EB" w:rsidP="000E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7BB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R$      564.545.665,00 </w:t>
            </w:r>
          </w:p>
        </w:tc>
      </w:tr>
      <w:tr w:rsidR="00AA66EB" w:rsidRPr="006C7BB3" w:rsidTr="000E2B9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A66EB" w:rsidRPr="006C7BB3" w:rsidRDefault="00AA66EB" w:rsidP="000E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7BB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A66EB" w:rsidRPr="006C7BB3" w:rsidRDefault="00AA66EB" w:rsidP="000E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7BB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R$      758.423.247,00 </w:t>
            </w:r>
          </w:p>
        </w:tc>
      </w:tr>
      <w:tr w:rsidR="00AA66EB" w:rsidRPr="006C7BB3" w:rsidTr="000E2B9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EB" w:rsidRPr="006C7BB3" w:rsidRDefault="00AA66EB" w:rsidP="000E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7BB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EB" w:rsidRPr="006C7BB3" w:rsidRDefault="00AA66EB" w:rsidP="000E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7BB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R$  1.057.371.641,00 </w:t>
            </w:r>
          </w:p>
        </w:tc>
      </w:tr>
      <w:tr w:rsidR="00AA66EB" w:rsidRPr="006C7BB3" w:rsidTr="000E2B9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A66EB" w:rsidRPr="006C7BB3" w:rsidRDefault="00AA66EB" w:rsidP="000E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7BB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A66EB" w:rsidRPr="006C7BB3" w:rsidRDefault="00AA66EB" w:rsidP="000E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7BB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R$  1.125.462.898,00 </w:t>
            </w:r>
          </w:p>
        </w:tc>
      </w:tr>
      <w:tr w:rsidR="00AA66EB" w:rsidRPr="006C7BB3" w:rsidTr="000E2B9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EB" w:rsidRPr="006C7BB3" w:rsidRDefault="00AA66EB" w:rsidP="000E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7BB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EB" w:rsidRPr="006C7BB3" w:rsidRDefault="00AA66EB" w:rsidP="000E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7BB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R$      970.434.955,00 </w:t>
            </w:r>
          </w:p>
        </w:tc>
      </w:tr>
      <w:tr w:rsidR="00AA66EB" w:rsidRPr="006C7BB3" w:rsidTr="000E2B9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A66EB" w:rsidRPr="006C7BB3" w:rsidRDefault="00AA66EB" w:rsidP="000E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7BB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AA66EB" w:rsidRPr="006C7BB3" w:rsidRDefault="00AA66EB" w:rsidP="000E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7BB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R$  1.279.543.276,00 </w:t>
            </w:r>
          </w:p>
        </w:tc>
      </w:tr>
      <w:tr w:rsidR="008D54A1" w:rsidRPr="006C7BB3" w:rsidTr="000E2B9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D54A1" w:rsidRPr="006C7BB3" w:rsidRDefault="008D54A1" w:rsidP="000E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7BB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D54A1" w:rsidRPr="006C7BB3" w:rsidRDefault="008D54A1" w:rsidP="000E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7BB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</w:t>
            </w:r>
            <w:proofErr w:type="gramStart"/>
            <w:r w:rsidRPr="006C7BB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</w:t>
            </w:r>
            <w:proofErr w:type="gramEnd"/>
            <w:r w:rsidRPr="006C7BB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1.336.232.393,00</w:t>
            </w:r>
          </w:p>
        </w:tc>
      </w:tr>
      <w:tr w:rsidR="00AA66EB" w:rsidRPr="006C7BB3" w:rsidTr="000E2B9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EB" w:rsidRPr="006C7BB3" w:rsidRDefault="00AA66EB" w:rsidP="000E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7BB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EB" w:rsidRPr="006C7BB3" w:rsidRDefault="00AA66EB" w:rsidP="000E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C7BB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R$  7.867.566.195,00 </w:t>
            </w:r>
          </w:p>
        </w:tc>
      </w:tr>
    </w:tbl>
    <w:p w:rsidR="00F90307" w:rsidRPr="006C7BB3" w:rsidRDefault="000E2B91" w:rsidP="003C00CC">
      <w:pPr>
        <w:jc w:val="both"/>
        <w:rPr>
          <w:rFonts w:ascii="Times New Roman" w:hAnsi="Times New Roman" w:cs="Times New Roman"/>
        </w:rPr>
      </w:pPr>
      <w:r w:rsidRPr="006C7BB3">
        <w:rPr>
          <w:rFonts w:ascii="Times New Roman" w:hAnsi="Times New Roman" w:cs="Times New Roman"/>
        </w:rPr>
        <w:br w:type="textWrapping" w:clear="all"/>
      </w:r>
      <w:r w:rsidR="00AA66EB" w:rsidRPr="006C7BB3">
        <w:rPr>
          <w:rFonts w:ascii="Times New Roman" w:hAnsi="Times New Roman" w:cs="Times New Roman"/>
        </w:rPr>
        <w:t>Fonte: Secretaria da Receita Federal</w:t>
      </w:r>
    </w:p>
    <w:p w:rsidR="00327EE3" w:rsidRPr="006C7BB3" w:rsidRDefault="00327EE3" w:rsidP="003C00CC">
      <w:pPr>
        <w:pStyle w:val="PargrafodaLista"/>
        <w:jc w:val="both"/>
        <w:rPr>
          <w:rFonts w:ascii="Times New Roman" w:hAnsi="Times New Roman" w:cs="Times New Roman"/>
          <w:b/>
        </w:rPr>
      </w:pPr>
    </w:p>
    <w:p w:rsidR="00327EE3" w:rsidRPr="006C7BB3" w:rsidRDefault="00327EE3" w:rsidP="003C00CC">
      <w:pPr>
        <w:pStyle w:val="PargrafodaLista"/>
        <w:jc w:val="both"/>
        <w:rPr>
          <w:rFonts w:ascii="Times New Roman" w:hAnsi="Times New Roman" w:cs="Times New Roman"/>
          <w:b/>
        </w:rPr>
      </w:pPr>
    </w:p>
    <w:p w:rsidR="009B50C7" w:rsidRPr="006C7BB3" w:rsidRDefault="009B50C7" w:rsidP="003C00C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C7BB3">
        <w:rPr>
          <w:rFonts w:ascii="Times New Roman" w:hAnsi="Times New Roman" w:cs="Times New Roman"/>
          <w:b/>
        </w:rPr>
        <w:t>Estratégia de implantação</w:t>
      </w:r>
    </w:p>
    <w:p w:rsidR="00F90307" w:rsidRPr="006C7BB3" w:rsidRDefault="00F90307" w:rsidP="00F90307">
      <w:pPr>
        <w:ind w:left="360"/>
        <w:jc w:val="both"/>
        <w:rPr>
          <w:rFonts w:ascii="Times New Roman" w:hAnsi="Times New Roman" w:cs="Times New Roman"/>
        </w:rPr>
      </w:pPr>
      <w:r w:rsidRPr="006C7BB3">
        <w:rPr>
          <w:rFonts w:ascii="Times New Roman" w:hAnsi="Times New Roman" w:cs="Times New Roman"/>
        </w:rPr>
        <w:t>A estratégia de implantação do PROUNI foi regulação de isenções fiscais. As isenções estavam previstas desde o advento da Constituição Federal de 1988 e permaneciam sem regulação: uma vacuna legislativa de 16 anos. O PROUNI definiu os critérios para isenção, induzindo a oferta de bolsas de estudo e norteando a atuação das instituições Privadas de Ensino Superior.</w:t>
      </w:r>
    </w:p>
    <w:p w:rsidR="00F90307" w:rsidRPr="006C7BB3" w:rsidRDefault="00F90307" w:rsidP="00F90307">
      <w:pPr>
        <w:ind w:left="360"/>
        <w:jc w:val="both"/>
        <w:rPr>
          <w:rFonts w:ascii="Times New Roman" w:hAnsi="Times New Roman" w:cs="Times New Roman"/>
        </w:rPr>
      </w:pPr>
      <w:r w:rsidRPr="006C7BB3">
        <w:rPr>
          <w:rFonts w:ascii="Times New Roman" w:hAnsi="Times New Roman" w:cs="Times New Roman"/>
        </w:rPr>
        <w:t>Ademais, o PROUNI utilizou-se do ENEM (Exame Nacional do Ensino Médio) como critério de seleção para concessão de bolsas.</w:t>
      </w:r>
      <w:r w:rsidR="000E2B91" w:rsidRPr="006C7BB3">
        <w:rPr>
          <w:rFonts w:ascii="Times New Roman" w:hAnsi="Times New Roman" w:cs="Times New Roman"/>
        </w:rPr>
        <w:t xml:space="preserve"> Critério </w:t>
      </w:r>
      <w:proofErr w:type="spellStart"/>
      <w:r w:rsidR="000E2B91" w:rsidRPr="006C7BB3">
        <w:rPr>
          <w:rFonts w:ascii="Times New Roman" w:hAnsi="Times New Roman" w:cs="Times New Roman"/>
        </w:rPr>
        <w:t>meritocrático</w:t>
      </w:r>
      <w:proofErr w:type="spellEnd"/>
      <w:r w:rsidR="000E2B91" w:rsidRPr="006C7BB3">
        <w:rPr>
          <w:rFonts w:ascii="Times New Roman" w:hAnsi="Times New Roman" w:cs="Times New Roman"/>
        </w:rPr>
        <w:t>.</w:t>
      </w:r>
    </w:p>
    <w:p w:rsidR="002A7BC9" w:rsidRPr="006C7BB3" w:rsidRDefault="002A7BC9" w:rsidP="003C00CC">
      <w:pPr>
        <w:pStyle w:val="PargrafodaLista"/>
        <w:jc w:val="both"/>
        <w:rPr>
          <w:rFonts w:ascii="Times New Roman" w:hAnsi="Times New Roman" w:cs="Times New Roman"/>
          <w:b/>
        </w:rPr>
      </w:pPr>
    </w:p>
    <w:p w:rsidR="009B50C7" w:rsidRPr="006C7BB3" w:rsidRDefault="009B50C7" w:rsidP="003C00C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C7BB3">
        <w:rPr>
          <w:rFonts w:ascii="Times New Roman" w:hAnsi="Times New Roman" w:cs="Times New Roman"/>
          <w:b/>
        </w:rPr>
        <w:t>Funcionamento efetivo do programa</w:t>
      </w:r>
    </w:p>
    <w:p w:rsidR="002A7BC9" w:rsidRPr="006C7BB3" w:rsidRDefault="002A7BC9" w:rsidP="003C00CC">
      <w:pPr>
        <w:pStyle w:val="PargrafodaLista"/>
        <w:jc w:val="both"/>
        <w:rPr>
          <w:rFonts w:ascii="Times New Roman" w:hAnsi="Times New Roman" w:cs="Times New Roman"/>
          <w:b/>
        </w:rPr>
      </w:pPr>
    </w:p>
    <w:p w:rsidR="00AA66EB" w:rsidRPr="006C7BB3" w:rsidRDefault="00AA66EB" w:rsidP="003C00CC">
      <w:pPr>
        <w:pStyle w:val="PargrafodaLista"/>
        <w:jc w:val="both"/>
        <w:rPr>
          <w:rFonts w:ascii="Times New Roman" w:hAnsi="Times New Roman" w:cs="Times New Roman"/>
        </w:rPr>
      </w:pPr>
      <w:r w:rsidRPr="006C7BB3">
        <w:rPr>
          <w:rFonts w:ascii="Times New Roman" w:hAnsi="Times New Roman" w:cs="Times New Roman"/>
        </w:rPr>
        <w:t>Ano que tange ao funcionamento efetivo do programa, alguns pontos devem ser destacados.</w:t>
      </w:r>
    </w:p>
    <w:p w:rsidR="00AA66EB" w:rsidRPr="006C7BB3" w:rsidRDefault="00AA66EB" w:rsidP="003C00CC">
      <w:pPr>
        <w:pStyle w:val="PargrafodaLista"/>
        <w:jc w:val="both"/>
        <w:rPr>
          <w:rFonts w:ascii="Times New Roman" w:hAnsi="Times New Roman" w:cs="Times New Roman"/>
        </w:rPr>
      </w:pPr>
      <w:r w:rsidRPr="006C7BB3">
        <w:rPr>
          <w:rFonts w:ascii="Times New Roman" w:hAnsi="Times New Roman" w:cs="Times New Roman"/>
        </w:rPr>
        <w:t>Primei</w:t>
      </w:r>
      <w:r w:rsidR="00593398" w:rsidRPr="006C7BB3">
        <w:rPr>
          <w:rFonts w:ascii="Times New Roman" w:hAnsi="Times New Roman" w:cs="Times New Roman"/>
        </w:rPr>
        <w:t>ramente, no período de 2004-2017, 3,2 milhões</w:t>
      </w:r>
      <w:r w:rsidRPr="006C7BB3">
        <w:rPr>
          <w:rFonts w:ascii="Times New Roman" w:hAnsi="Times New Roman" w:cs="Times New Roman"/>
        </w:rPr>
        <w:t xml:space="preserve"> de alunos ingressaram no ensino superior</w:t>
      </w:r>
      <w:r w:rsidR="001E4017" w:rsidRPr="006C7BB3">
        <w:rPr>
          <w:rFonts w:ascii="Times New Roman" w:hAnsi="Times New Roman" w:cs="Times New Roman"/>
        </w:rPr>
        <w:t xml:space="preserve"> através de bolsas</w:t>
      </w:r>
      <w:r w:rsidRPr="006C7BB3">
        <w:rPr>
          <w:rFonts w:ascii="Times New Roman" w:hAnsi="Times New Roman" w:cs="Times New Roman"/>
        </w:rPr>
        <w:t xml:space="preserve"> em instituições privadas</w:t>
      </w:r>
      <w:r w:rsidR="00593398" w:rsidRPr="006C7BB3">
        <w:rPr>
          <w:rFonts w:ascii="Times New Roman" w:hAnsi="Times New Roman" w:cs="Times New Roman"/>
        </w:rPr>
        <w:t>. Importante mencionar que só</w:t>
      </w:r>
      <w:r w:rsidR="00AC4172" w:rsidRPr="006C7BB3">
        <w:rPr>
          <w:rFonts w:ascii="Times New Roman" w:hAnsi="Times New Roman" w:cs="Times New Roman"/>
        </w:rPr>
        <w:t xml:space="preserve"> no</w:t>
      </w:r>
      <w:r w:rsidR="00593398" w:rsidRPr="006C7BB3">
        <w:rPr>
          <w:rFonts w:ascii="Times New Roman" w:hAnsi="Times New Roman" w:cs="Times New Roman"/>
        </w:rPr>
        <w:t xml:space="preserve"> ano de 2017 foram ofertadas 361 mil bolsas de estudo</w:t>
      </w:r>
      <w:r w:rsidR="00AC4172" w:rsidRPr="006C7BB3">
        <w:rPr>
          <w:rFonts w:ascii="Times New Roman" w:hAnsi="Times New Roman" w:cs="Times New Roman"/>
        </w:rPr>
        <w:t>, sendo 171 mil de bolsas integ</w:t>
      </w:r>
      <w:r w:rsidR="00593398" w:rsidRPr="006C7BB3">
        <w:rPr>
          <w:rFonts w:ascii="Times New Roman" w:hAnsi="Times New Roman" w:cs="Times New Roman"/>
        </w:rPr>
        <w:t>rais.</w:t>
      </w:r>
    </w:p>
    <w:p w:rsidR="00A56E60" w:rsidRPr="006C7BB3" w:rsidRDefault="00A56E60" w:rsidP="003C00CC">
      <w:pPr>
        <w:pStyle w:val="PargrafodaLista"/>
        <w:jc w:val="both"/>
        <w:rPr>
          <w:rFonts w:ascii="Times New Roman" w:hAnsi="Times New Roman" w:cs="Times New Roman"/>
        </w:rPr>
      </w:pPr>
      <w:r w:rsidRPr="006C7BB3">
        <w:rPr>
          <w:rFonts w:ascii="Times New Roman" w:hAnsi="Times New Roman" w:cs="Times New Roman"/>
        </w:rPr>
        <w:t xml:space="preserve">Nesse sentido, o PROUNI se mostrou efetivo ao objetivo proposto </w:t>
      </w:r>
      <w:r w:rsidR="00AC4172" w:rsidRPr="006C7BB3">
        <w:rPr>
          <w:rFonts w:ascii="Times New Roman" w:hAnsi="Times New Roman" w:cs="Times New Roman"/>
        </w:rPr>
        <w:t xml:space="preserve">em promover a inclusão social através da oferta de bolsas integrais </w:t>
      </w:r>
      <w:r w:rsidRPr="006C7BB3">
        <w:rPr>
          <w:rFonts w:ascii="Times New Roman" w:hAnsi="Times New Roman" w:cs="Times New Roman"/>
        </w:rPr>
        <w:t>em Instituições de Ensino Superior.</w:t>
      </w:r>
    </w:p>
    <w:p w:rsidR="00AC4172" w:rsidRPr="006C7BB3" w:rsidRDefault="00AC4172" w:rsidP="003C00CC">
      <w:pPr>
        <w:pStyle w:val="PargrafodaLista"/>
        <w:jc w:val="both"/>
        <w:rPr>
          <w:rFonts w:ascii="Times New Roman" w:hAnsi="Times New Roman" w:cs="Times New Roman"/>
        </w:rPr>
      </w:pPr>
      <w:r w:rsidRPr="006C7BB3">
        <w:rPr>
          <w:rFonts w:ascii="Times New Roman" w:hAnsi="Times New Roman" w:cs="Times New Roman"/>
        </w:rPr>
        <w:t xml:space="preserve">No que tange ao risco de evasão, segundo dados oficiais do Governo Federal, o número foi </w:t>
      </w:r>
      <w:proofErr w:type="gramStart"/>
      <w:r w:rsidRPr="006C7BB3">
        <w:rPr>
          <w:rFonts w:ascii="Times New Roman" w:hAnsi="Times New Roman" w:cs="Times New Roman"/>
        </w:rPr>
        <w:t>4</w:t>
      </w:r>
      <w:proofErr w:type="gramEnd"/>
      <w:r w:rsidRPr="006C7BB3">
        <w:rPr>
          <w:rFonts w:ascii="Times New Roman" w:hAnsi="Times New Roman" w:cs="Times New Roman"/>
        </w:rPr>
        <w:t xml:space="preserve"> vezes inferior a da média dos estudantes universitários da rede privada.</w:t>
      </w:r>
    </w:p>
    <w:p w:rsidR="00AA66EB" w:rsidRPr="006C7BB3" w:rsidRDefault="00AC4172" w:rsidP="003C00CC">
      <w:pPr>
        <w:pStyle w:val="PargrafodaLista"/>
        <w:jc w:val="both"/>
        <w:rPr>
          <w:rFonts w:ascii="Times New Roman" w:hAnsi="Times New Roman" w:cs="Times New Roman"/>
        </w:rPr>
      </w:pPr>
      <w:r w:rsidRPr="006C7BB3">
        <w:rPr>
          <w:rFonts w:ascii="Times New Roman" w:hAnsi="Times New Roman" w:cs="Times New Roman"/>
        </w:rPr>
        <w:t>Por fim, cumpre apontar que a implantação do programa não reduziu</w:t>
      </w:r>
      <w:r w:rsidR="00313BB6" w:rsidRPr="006C7BB3">
        <w:rPr>
          <w:rFonts w:ascii="Times New Roman" w:hAnsi="Times New Roman" w:cs="Times New Roman"/>
        </w:rPr>
        <w:t xml:space="preserve"> a oferta de vagas em rede </w:t>
      </w:r>
      <w:r w:rsidR="006C7BB3" w:rsidRPr="006C7BB3">
        <w:rPr>
          <w:rFonts w:ascii="Times New Roman" w:hAnsi="Times New Roman" w:cs="Times New Roman"/>
        </w:rPr>
        <w:t>pública.</w:t>
      </w:r>
    </w:p>
    <w:p w:rsidR="006C7BB3" w:rsidRPr="006C7BB3" w:rsidRDefault="006C7BB3" w:rsidP="003C00CC">
      <w:pPr>
        <w:pStyle w:val="PargrafodaLista"/>
        <w:jc w:val="both"/>
        <w:rPr>
          <w:rFonts w:ascii="Times New Roman" w:hAnsi="Times New Roman" w:cs="Times New Roman"/>
        </w:rPr>
      </w:pPr>
    </w:p>
    <w:p w:rsidR="009B50C7" w:rsidRPr="006C7BB3" w:rsidRDefault="009B50C7" w:rsidP="003C00C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C7BB3">
        <w:rPr>
          <w:rFonts w:ascii="Times New Roman" w:hAnsi="Times New Roman" w:cs="Times New Roman"/>
          <w:b/>
        </w:rPr>
        <w:t>Aspectos críticos do desenho jurídico-institucional</w:t>
      </w:r>
      <w:r w:rsidR="002A7BC9" w:rsidRPr="006C7BB3">
        <w:rPr>
          <w:rFonts w:ascii="Times New Roman" w:hAnsi="Times New Roman" w:cs="Times New Roman"/>
          <w:b/>
        </w:rPr>
        <w:t>.</w:t>
      </w:r>
    </w:p>
    <w:p w:rsidR="00AC4172" w:rsidRPr="006C7BB3" w:rsidRDefault="00AC4172" w:rsidP="00AC4172">
      <w:pPr>
        <w:pStyle w:val="PargrafodaLista"/>
        <w:jc w:val="both"/>
        <w:rPr>
          <w:rFonts w:ascii="Times New Roman" w:hAnsi="Times New Roman" w:cs="Times New Roman"/>
          <w:b/>
        </w:rPr>
      </w:pPr>
    </w:p>
    <w:p w:rsidR="00AC4172" w:rsidRPr="006C7BB3" w:rsidRDefault="006C7BB3" w:rsidP="00AC4172">
      <w:pPr>
        <w:pStyle w:val="PargrafodaLista"/>
        <w:jc w:val="both"/>
        <w:rPr>
          <w:rFonts w:ascii="Times New Roman" w:hAnsi="Times New Roman" w:cs="Times New Roman"/>
        </w:rPr>
      </w:pPr>
      <w:r w:rsidRPr="006C7BB3">
        <w:rPr>
          <w:rFonts w:ascii="Times New Roman" w:hAnsi="Times New Roman" w:cs="Times New Roman"/>
        </w:rPr>
        <w:t>Ausência de direcionamento a cursos prioritários e estratégicos.</w:t>
      </w:r>
    </w:p>
    <w:p w:rsidR="002A7BC9" w:rsidRPr="006C7BB3" w:rsidRDefault="002A7BC9" w:rsidP="003C00CC">
      <w:pPr>
        <w:pStyle w:val="PargrafodaLista"/>
        <w:jc w:val="both"/>
        <w:rPr>
          <w:rFonts w:ascii="Times New Roman" w:hAnsi="Times New Roman" w:cs="Times New Roman"/>
          <w:b/>
        </w:rPr>
      </w:pPr>
    </w:p>
    <w:p w:rsidR="00AC4172" w:rsidRPr="006C7BB3" w:rsidRDefault="00AC4172" w:rsidP="003C00CC">
      <w:pPr>
        <w:pStyle w:val="PargrafodaLista"/>
        <w:jc w:val="both"/>
        <w:rPr>
          <w:rFonts w:ascii="Times New Roman" w:hAnsi="Times New Roman" w:cs="Times New Roman"/>
          <w:b/>
        </w:rPr>
      </w:pPr>
    </w:p>
    <w:p w:rsidR="002A7BC9" w:rsidRPr="006C7BB3" w:rsidRDefault="002A7BC9" w:rsidP="003C00CC">
      <w:pPr>
        <w:jc w:val="both"/>
        <w:rPr>
          <w:rFonts w:ascii="Times New Roman" w:hAnsi="Times New Roman" w:cs="Times New Roman"/>
          <w:b/>
        </w:rPr>
      </w:pPr>
    </w:p>
    <w:p w:rsidR="009F0873" w:rsidRPr="006C7BB3" w:rsidRDefault="009F0873" w:rsidP="003C00CC">
      <w:pPr>
        <w:jc w:val="both"/>
        <w:rPr>
          <w:rFonts w:ascii="Times New Roman" w:hAnsi="Times New Roman" w:cs="Times New Roman"/>
        </w:rPr>
      </w:pPr>
    </w:p>
    <w:sectPr w:rsidR="009F0873" w:rsidRPr="006C7BB3" w:rsidSect="00141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452"/>
    <w:multiLevelType w:val="hybridMultilevel"/>
    <w:tmpl w:val="BFBE6A36"/>
    <w:lvl w:ilvl="0" w:tplc="45AC69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83ECA"/>
    <w:multiLevelType w:val="hybridMultilevel"/>
    <w:tmpl w:val="2B78DF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C7"/>
    <w:rsid w:val="000E2B91"/>
    <w:rsid w:val="00126332"/>
    <w:rsid w:val="0014180A"/>
    <w:rsid w:val="001555FD"/>
    <w:rsid w:val="001E4017"/>
    <w:rsid w:val="002A7BC9"/>
    <w:rsid w:val="00313BB6"/>
    <w:rsid w:val="00327EE3"/>
    <w:rsid w:val="00393EDE"/>
    <w:rsid w:val="003C00CC"/>
    <w:rsid w:val="003F399F"/>
    <w:rsid w:val="00470A38"/>
    <w:rsid w:val="004928B0"/>
    <w:rsid w:val="00593398"/>
    <w:rsid w:val="005F5BE0"/>
    <w:rsid w:val="005F63A7"/>
    <w:rsid w:val="00601754"/>
    <w:rsid w:val="006C4BCF"/>
    <w:rsid w:val="006C7BB3"/>
    <w:rsid w:val="006E09A6"/>
    <w:rsid w:val="007D0FFD"/>
    <w:rsid w:val="008D54A1"/>
    <w:rsid w:val="009B50C7"/>
    <w:rsid w:val="009F0873"/>
    <w:rsid w:val="00A56E60"/>
    <w:rsid w:val="00AA66EB"/>
    <w:rsid w:val="00AC4172"/>
    <w:rsid w:val="00C8609D"/>
    <w:rsid w:val="00DE2101"/>
    <w:rsid w:val="00F9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8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5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8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5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2132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8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1F706-E03F-4164-935F-59D23ED5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Duque</dc:creator>
  <cp:lastModifiedBy>operador</cp:lastModifiedBy>
  <cp:revision>2</cp:revision>
  <dcterms:created xsi:type="dcterms:W3CDTF">2018-04-12T20:32:00Z</dcterms:created>
  <dcterms:modified xsi:type="dcterms:W3CDTF">2018-04-12T20:32:00Z</dcterms:modified>
</cp:coreProperties>
</file>