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ANDI – AMBULATÓRIO DE NUTRIÇÃO E DOENÇAS INFECCIOSAS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0</wp:posOffset>
            </wp:positionV>
            <wp:extent cx="855561" cy="69603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5561" cy="696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790395" cy="1064632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395" cy="10646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CARACTERIZAÇÃO DO AMBULATÓRIO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Localização no hospital:</w:t>
      </w:r>
      <w:r w:rsidDel="00000000" w:rsidR="00000000" w:rsidRPr="00000000">
        <w:rPr>
          <w:sz w:val="28"/>
          <w:szCs w:val="28"/>
          <w:rtl w:val="0"/>
        </w:rPr>
        <w:t xml:space="preserve"> Hospital das Clínicas de Ribeirão Preto, Balcão 14;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salas disponíveis:</w:t>
      </w:r>
      <w:r w:rsidDel="00000000" w:rsidR="00000000" w:rsidRPr="00000000">
        <w:rPr>
          <w:sz w:val="28"/>
          <w:szCs w:val="28"/>
          <w:rtl w:val="0"/>
        </w:rPr>
        <w:t xml:space="preserve"> 03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Rotina do ambulatório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Horário de chegada da equipe da nutrição:</w:t>
      </w:r>
      <w:r w:rsidDel="00000000" w:rsidR="00000000" w:rsidRPr="00000000">
        <w:rPr>
          <w:sz w:val="28"/>
          <w:szCs w:val="28"/>
          <w:rtl w:val="0"/>
        </w:rPr>
        <w:t xml:space="preserve"> 8h00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Horário para início do atendimento ao paciente:</w:t>
      </w:r>
      <w:r w:rsidDel="00000000" w:rsidR="00000000" w:rsidRPr="00000000">
        <w:rPr>
          <w:sz w:val="28"/>
          <w:szCs w:val="28"/>
          <w:rtl w:val="0"/>
        </w:rPr>
        <w:t xml:space="preserve"> 8h30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Encaminhamento:</w:t>
      </w:r>
      <w:r w:rsidDel="00000000" w:rsidR="00000000" w:rsidRPr="00000000">
        <w:rPr>
          <w:sz w:val="28"/>
          <w:szCs w:val="28"/>
          <w:rtl w:val="0"/>
        </w:rPr>
        <w:t xml:space="preserve"> Os pacientes são encaminhados pelos médicos da UETDI – Unidade Especial de Tratamento de Doenças Infecciosas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Agendamento</w:t>
      </w:r>
      <w:r w:rsidDel="00000000" w:rsidR="00000000" w:rsidRPr="00000000">
        <w:rPr>
          <w:sz w:val="28"/>
          <w:szCs w:val="28"/>
          <w:rtl w:val="0"/>
        </w:rPr>
        <w:t xml:space="preserve">: O agendamento é realizado pela secretaria do ANDI (Sr Francisco) e também pela equipe da nutrição;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Pacientes atendidos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Gênero:</w:t>
      </w:r>
      <w:r w:rsidDel="00000000" w:rsidR="00000000" w:rsidRPr="00000000">
        <w:rPr>
          <w:sz w:val="28"/>
          <w:szCs w:val="28"/>
          <w:rtl w:val="0"/>
        </w:rPr>
        <w:t xml:space="preserve"> diversos;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Faixa de idade:</w:t>
      </w:r>
      <w:r w:rsidDel="00000000" w:rsidR="00000000" w:rsidRPr="00000000">
        <w:rPr>
          <w:sz w:val="28"/>
          <w:szCs w:val="28"/>
          <w:rtl w:val="0"/>
        </w:rPr>
        <w:t xml:space="preserve"> Adolescentes, adultos e idosos;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Estado nutricional predominante:</w:t>
      </w:r>
      <w:r w:rsidDel="00000000" w:rsidR="00000000" w:rsidRPr="00000000">
        <w:rPr>
          <w:sz w:val="28"/>
          <w:szCs w:val="28"/>
          <w:rtl w:val="0"/>
        </w:rPr>
        <w:t xml:space="preserve"> sobrepeso e obesidade;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Diagnósticos clínicos mais prevalentes: </w:t>
      </w:r>
      <w:r w:rsidDel="00000000" w:rsidR="00000000" w:rsidRPr="00000000">
        <w:rPr>
          <w:sz w:val="28"/>
          <w:szCs w:val="28"/>
          <w:rtl w:val="0"/>
        </w:rPr>
        <w:t xml:space="preserve">HIV positivo, hipertrigliceridemia, hipercolesterolemia, diabetes, hipertensão, doenças renais, depressão, ansiedade, distúrbios do sono, osteoporose, doenças dermatológicas.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Nível socioeconômico:</w:t>
      </w:r>
      <w:r w:rsidDel="00000000" w:rsidR="00000000" w:rsidRPr="00000000">
        <w:rPr>
          <w:sz w:val="28"/>
          <w:szCs w:val="28"/>
          <w:rtl w:val="0"/>
        </w:rPr>
        <w:t xml:space="preserve">  geralmente os pacientes possuem baixa renda proveniente de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benefício previdenciário, como aposentadoria por invalidez ou o benefício assistencial.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Periodicidade das consultas: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Flexível e de acordo com a demanda do paciente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Tempo de tratamento: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De acordo com a demanda do paciente e do que foi discutido com a equipe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Alta: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O paciente poderá receber alta de acordo com a adesão ao tratamento e/ou com o tempo de atendimento neste ambulatório.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Recursos Humanos: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 Docente responsável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 Nutricionista contratado pelo Curso de Nutrição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 Aluno PAE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 Alunos de pós graduação (orientando)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 Aprimorando</w:t>
      </w:r>
    </w:p>
    <w:p w:rsidR="00000000" w:rsidDel="00000000" w:rsidP="00000000" w:rsidRDefault="00000000" w:rsidRPr="00000000" w14:paraId="0000001D">
      <w:pPr>
        <w:rPr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Alunos de graduação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(variável)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Funções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Funções das nutricionistas contratadas e pós graduandos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Discutir os casos dos pacientes atendidos com os aprimorandos e alunos;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Acompanhar desenvolvimento do aprimorando e aluno no ambulatório;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Atualizar o material do ANDI: protocolo de rotina, protocolos de atendimento, folders orientativos etc;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Controlar fechamento de agenda em períodos de férias dos aprimorandos e alunos.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 Realizar feedback aos aprimorandos e alunos do seu desempenho;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 Propor ideias inovadoras para o ambulatório.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Funções do Aprimorando e Aluno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revisão de casos dos pacientes agendados;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Montar o “esqueleto” de atendimento;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atendimento nutricional de pacientes;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ativamente das discussões de casos;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Marcar o retorno para o paciente (cartão e sistema HC);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ativamente das reuniões da equipe;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Auxiliar na elaboração e aperfeiçoamento dos materiais do ANDI.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Orientações gerais: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/>
        <w:ind w:left="72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Todo o material utilizado no ANDI está disponível para acesso dos aprimorandos e alunos pelo Stoa (E-Disciplinas USP) ou na pasta “ANDI” do computador ID 11 localizado no Balcão 14.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/>
        <w:ind w:left="72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Para cada atendimento (caso novo ou retorno), há disponível o esqueleto para realizar a evolução.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/>
        <w:ind w:left="72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Durante o atendimento, é importante lembrar sempre de: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Comunicar-se cordialmente com o paciente (cumprimentar de forma adequada, apresentar-se, manter comunicação simultânea e agradecer ao final), mantendo linguagem adequada (evitar excesso de termos técnicos, bem como o uso de gírias);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0" w:afterAutospacing="0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No caso novo, deve ser explicado o funcionamento do ambulatório (agendamento de consultas conforme demanda, rotatividade da equipe, explicar o que é a nutrição e o porquê de ter sido encaminhado);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No retorno, devem ser retomadas as orientações do atendimento nutricional anterior (verificar adesão e dificuldades);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afterAutospacing="0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Na realização da anamnese, detalhar as informações (hábitos e inquéritos alimentares), conforme descrito no Manual de Estágio;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afterAutospacing="0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Na avaliação do consumo alimentar, explicar previamente o que são os inquéritos alimentares que você utilizará (dieta habitual, QFA e disponibilidade mensal) e atentar-se para não induzir a resposta do paciente;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Ao final do atendimento, instruir o paciente a comparecer na sala de pós consulta da enfermagem;</w:t>
      </w:r>
    </w:p>
    <w:p w:rsidR="00000000" w:rsidDel="00000000" w:rsidP="00000000" w:rsidRDefault="00000000" w:rsidRPr="00000000" w14:paraId="0000003B">
      <w:pPr>
        <w:ind w:left="144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0" w:afterAutospacing="0"/>
        <w:ind w:left="425.19685039370086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Exame físico: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Avaliar os sinais de lipoatrofia e lipohipertrofia (explicação no vídeo disponível no Stoa/E-Disciplinas USP).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afterAutospacing="0"/>
        <w:ind w:left="425.19685039370086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Antropometria: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Antes de realizar qualquer medida antropométrica, explicar ao paciente o procedimento a ser executado;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Em todas as consultas, os pacientes devem ser pesados (balança localizada na sala de pré consulta da enfermagem);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estatura deve ser aferida no Caso Novo, caso não tenha registro da mesma (estadiômetro localizado na sala de pré consulta da enfermagem);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Lembrar-se de higienizar a fita métrica e o adipômetro antes e após utilizá-los;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As medidas de circunferências, dobras cutâneas e a realização da Bioimpedância  Elétrica (se recomendadas pelo supervisor), devem ser realizadas no Caso Novo e, posteriormente, a cada 3 meses. Atualmente, as medidas utilizadas são: circunferência abdominal (registrar se foi na altura da cicatriz umbilical ou do ponto médio entre última costela e crista ilíaca), circunferência do braço e dobras cutâneas (bicipital, tricipital, subescapular e suprailíaca), seguindo sempre as recomendações do Manual de Estágio.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 caso de dúvidas ou sugestões, os supervisores estão sempre à disposição.</w:t>
      </w:r>
    </w:p>
    <w:p w:rsidR="00000000" w:rsidDel="00000000" w:rsidP="00000000" w:rsidRDefault="00000000" w:rsidRPr="00000000" w14:paraId="0000004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sua colaboração é essencial para este ambulatório!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