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Dec. 1920-1929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Dec. 1930-1939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Etc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Área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1.Arquitetura (edificações, reformas, interiores)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2.Planejamento Urbano e Regional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3.Paisagismo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4.Design (móveis, sinalização, objetos)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5.Estruturas e construção civil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Tipos de projeto (das áreas)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1.1 residenciais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1.2 edifícios de apartamentos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1.3 edifícios de escritórios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1.4 hotéis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1.5 clubes, colônias de férias, balneários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1.6 edifícios educacionais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1.7 edifícios administrativos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1.8 edifícios culturais (bibliotecas, museus, cinemas, teatros)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1.9 edifícios esportivos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1.10 edifícios industriais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1.11 estações de transportes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1.12 edifícios comerciais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1.13 reformas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1.14 interiores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1.15 monumentos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1.16 uso misto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2.1 planos diretores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2.2 planos territoriais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2.3 loteamento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2.4 campi universitários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2.5 projetos viários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2.6 revitalização urbana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3.1 jardins residenciais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3.2 jardins institucionais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3.3 praças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3.4 parques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3.5 playgrounds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3.6 planos territoriais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