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0A" w:rsidRDefault="006C540A" w:rsidP="006C540A">
      <w:pPr>
        <w:pStyle w:val="Cabealho"/>
        <w:jc w:val="center"/>
        <w:rPr>
          <w:b/>
          <w:sz w:val="36"/>
          <w:szCs w:val="36"/>
        </w:rPr>
      </w:pPr>
      <w:r>
        <w:rPr>
          <w:noProof/>
          <w:lang w:eastAsia="pt-BR"/>
        </w:rPr>
        <w:drawing>
          <wp:anchor distT="0" distB="0" distL="114300" distR="114300" simplePos="0" relativeHeight="251662848" behindDoc="0" locked="0" layoutInCell="1" allowOverlap="1">
            <wp:simplePos x="0" y="0"/>
            <wp:positionH relativeFrom="column">
              <wp:posOffset>-682625</wp:posOffset>
            </wp:positionH>
            <wp:positionV relativeFrom="paragraph">
              <wp:posOffset>-487680</wp:posOffset>
            </wp:positionV>
            <wp:extent cx="1285875" cy="969010"/>
            <wp:effectExtent l="0" t="0" r="0" b="0"/>
            <wp:wrapNone/>
            <wp:docPr id="1" name="Imagem 1" descr="https://uspcomunidade.files.wordpress.com/2012/12/logo-fea-rp1.jpg?w=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spcomunidade.files.wordpress.com/2012/12/logo-fea-rp1.jpg?w=120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85875" cy="969010"/>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36"/>
        </w:rPr>
        <w:t>Universidade de São Paulo</w:t>
      </w:r>
    </w:p>
    <w:p w:rsidR="006C540A" w:rsidRDefault="006C540A" w:rsidP="006C540A">
      <w:pPr>
        <w:pStyle w:val="Cabealho"/>
        <w:ind w:left="1134"/>
        <w:jc w:val="center"/>
        <w:rPr>
          <w:b/>
          <w:sz w:val="32"/>
          <w:szCs w:val="32"/>
        </w:rPr>
      </w:pPr>
      <w:r>
        <w:rPr>
          <w:b/>
          <w:sz w:val="32"/>
          <w:szCs w:val="32"/>
        </w:rPr>
        <w:t xml:space="preserve">Faculdade de Economia, Administração e Contabilidade de Ribeirão </w:t>
      </w:r>
      <w:proofErr w:type="gramStart"/>
      <w:r w:rsidR="00C72E2D">
        <w:rPr>
          <w:b/>
          <w:sz w:val="32"/>
          <w:szCs w:val="32"/>
        </w:rPr>
        <w:t>Preto</w:t>
      </w:r>
      <w:proofErr w:type="gramEnd"/>
    </w:p>
    <w:p w:rsidR="006C540A" w:rsidRPr="006C540A" w:rsidRDefault="006C540A" w:rsidP="006C540A">
      <w:pPr>
        <w:spacing w:after="120"/>
        <w:jc w:val="both"/>
        <w:rPr>
          <w:rFonts w:ascii="Times New Roman" w:hAnsi="Times New Roman"/>
          <w:b/>
          <w:sz w:val="24"/>
          <w:szCs w:val="24"/>
        </w:rPr>
      </w:pPr>
    </w:p>
    <w:p w:rsidR="006C540A" w:rsidRPr="006C540A" w:rsidRDefault="006C540A" w:rsidP="006C540A">
      <w:pPr>
        <w:spacing w:after="120"/>
        <w:jc w:val="both"/>
        <w:rPr>
          <w:rFonts w:ascii="Times New Roman" w:hAnsi="Times New Roman"/>
          <w:b/>
          <w:sz w:val="24"/>
          <w:szCs w:val="24"/>
        </w:rPr>
      </w:pPr>
    </w:p>
    <w:p w:rsidR="006C540A" w:rsidRPr="006C540A" w:rsidRDefault="006C540A" w:rsidP="006C540A">
      <w:pPr>
        <w:spacing w:after="120"/>
        <w:jc w:val="both"/>
        <w:rPr>
          <w:rFonts w:ascii="Times New Roman" w:hAnsi="Times New Roman"/>
          <w:b/>
          <w:sz w:val="24"/>
          <w:szCs w:val="24"/>
        </w:rPr>
      </w:pPr>
    </w:p>
    <w:p w:rsidR="006C540A" w:rsidRPr="006C540A" w:rsidRDefault="006C540A" w:rsidP="006C540A">
      <w:pPr>
        <w:spacing w:after="120"/>
        <w:jc w:val="both"/>
        <w:rPr>
          <w:rFonts w:ascii="Times New Roman" w:hAnsi="Times New Roman"/>
          <w:b/>
          <w:sz w:val="24"/>
          <w:szCs w:val="24"/>
        </w:rPr>
      </w:pPr>
    </w:p>
    <w:p w:rsidR="006C540A" w:rsidRDefault="006C540A" w:rsidP="006C540A">
      <w:pPr>
        <w:spacing w:after="120"/>
        <w:jc w:val="both"/>
        <w:rPr>
          <w:rFonts w:ascii="Times New Roman" w:hAnsi="Times New Roman"/>
          <w:b/>
          <w:sz w:val="24"/>
          <w:szCs w:val="24"/>
        </w:rPr>
      </w:pPr>
    </w:p>
    <w:p w:rsidR="006C540A" w:rsidRDefault="006C540A" w:rsidP="006C540A">
      <w:pPr>
        <w:spacing w:after="120"/>
        <w:jc w:val="both"/>
        <w:rPr>
          <w:rFonts w:ascii="Times New Roman" w:hAnsi="Times New Roman"/>
          <w:b/>
          <w:sz w:val="24"/>
          <w:szCs w:val="24"/>
        </w:rPr>
      </w:pPr>
    </w:p>
    <w:p w:rsidR="006C540A" w:rsidRPr="006C540A" w:rsidRDefault="006C540A" w:rsidP="006C540A">
      <w:pPr>
        <w:spacing w:after="120"/>
        <w:jc w:val="both"/>
        <w:rPr>
          <w:rFonts w:ascii="Times New Roman" w:hAnsi="Times New Roman"/>
          <w:b/>
          <w:sz w:val="24"/>
          <w:szCs w:val="24"/>
        </w:rPr>
      </w:pPr>
    </w:p>
    <w:p w:rsidR="006C540A" w:rsidRPr="006C540A" w:rsidRDefault="006C540A" w:rsidP="006C540A">
      <w:pPr>
        <w:spacing w:after="120"/>
        <w:jc w:val="both"/>
        <w:rPr>
          <w:rFonts w:ascii="Times New Roman" w:hAnsi="Times New Roman"/>
          <w:b/>
          <w:sz w:val="24"/>
          <w:szCs w:val="24"/>
        </w:rPr>
      </w:pPr>
    </w:p>
    <w:p w:rsidR="006C540A" w:rsidRPr="006C540A" w:rsidRDefault="006C540A" w:rsidP="006C540A">
      <w:pPr>
        <w:spacing w:after="120"/>
        <w:jc w:val="center"/>
        <w:rPr>
          <w:rFonts w:ascii="Times New Roman" w:hAnsi="Times New Roman"/>
          <w:sz w:val="40"/>
          <w:szCs w:val="40"/>
        </w:rPr>
      </w:pPr>
      <w:r w:rsidRPr="006C540A">
        <w:rPr>
          <w:rFonts w:ascii="Times New Roman" w:hAnsi="Times New Roman"/>
          <w:sz w:val="40"/>
          <w:szCs w:val="40"/>
        </w:rPr>
        <w:t xml:space="preserve">A importância de fármacos </w:t>
      </w:r>
      <w:proofErr w:type="spellStart"/>
      <w:r w:rsidRPr="006C540A">
        <w:rPr>
          <w:rFonts w:ascii="Times New Roman" w:hAnsi="Times New Roman"/>
          <w:sz w:val="40"/>
          <w:szCs w:val="40"/>
        </w:rPr>
        <w:t>quirais</w:t>
      </w:r>
      <w:proofErr w:type="spellEnd"/>
      <w:r w:rsidRPr="006C540A">
        <w:rPr>
          <w:rFonts w:ascii="Times New Roman" w:hAnsi="Times New Roman"/>
          <w:sz w:val="40"/>
          <w:szCs w:val="40"/>
        </w:rPr>
        <w:t xml:space="preserve"> na indústria farmacêutica</w:t>
      </w:r>
    </w:p>
    <w:p w:rsidR="006C540A" w:rsidRPr="006C540A" w:rsidRDefault="006C540A" w:rsidP="006C540A">
      <w:pPr>
        <w:spacing w:after="120"/>
        <w:jc w:val="both"/>
        <w:rPr>
          <w:rFonts w:ascii="Times New Roman" w:hAnsi="Times New Roman"/>
          <w:sz w:val="32"/>
          <w:szCs w:val="32"/>
        </w:rPr>
      </w:pPr>
    </w:p>
    <w:p w:rsidR="006C540A" w:rsidRPr="006C540A" w:rsidRDefault="006C540A" w:rsidP="006C540A">
      <w:pPr>
        <w:spacing w:after="120"/>
        <w:jc w:val="both"/>
        <w:rPr>
          <w:rFonts w:ascii="Times New Roman" w:hAnsi="Times New Roman"/>
          <w:sz w:val="32"/>
          <w:szCs w:val="32"/>
        </w:rPr>
      </w:pPr>
    </w:p>
    <w:p w:rsidR="006C540A" w:rsidRPr="006C540A" w:rsidRDefault="006C540A" w:rsidP="006C540A">
      <w:pPr>
        <w:spacing w:after="120"/>
        <w:jc w:val="both"/>
        <w:rPr>
          <w:rFonts w:ascii="Times New Roman" w:hAnsi="Times New Roman"/>
          <w:sz w:val="32"/>
          <w:szCs w:val="32"/>
        </w:rPr>
      </w:pPr>
    </w:p>
    <w:p w:rsidR="006C540A" w:rsidRPr="006C540A" w:rsidRDefault="006C540A" w:rsidP="006C540A">
      <w:pPr>
        <w:spacing w:after="120"/>
        <w:jc w:val="both"/>
        <w:rPr>
          <w:rFonts w:ascii="Times New Roman" w:hAnsi="Times New Roman"/>
          <w:sz w:val="32"/>
          <w:szCs w:val="32"/>
        </w:rPr>
      </w:pPr>
    </w:p>
    <w:p w:rsidR="006C540A" w:rsidRPr="006C540A" w:rsidRDefault="006C540A" w:rsidP="006C540A">
      <w:pPr>
        <w:spacing w:after="120"/>
        <w:jc w:val="both"/>
        <w:rPr>
          <w:rFonts w:ascii="Times New Roman" w:hAnsi="Times New Roman"/>
          <w:sz w:val="32"/>
          <w:szCs w:val="32"/>
        </w:rPr>
      </w:pPr>
    </w:p>
    <w:p w:rsidR="006C540A" w:rsidRPr="006C540A" w:rsidRDefault="006C540A" w:rsidP="006C540A">
      <w:pPr>
        <w:spacing w:after="120"/>
        <w:jc w:val="both"/>
        <w:rPr>
          <w:rFonts w:ascii="Times New Roman" w:hAnsi="Times New Roman"/>
          <w:sz w:val="32"/>
          <w:szCs w:val="32"/>
        </w:rPr>
      </w:pPr>
    </w:p>
    <w:p w:rsidR="006C540A" w:rsidRPr="006C540A" w:rsidRDefault="006C540A" w:rsidP="006C540A">
      <w:pPr>
        <w:spacing w:after="120"/>
        <w:jc w:val="both"/>
        <w:rPr>
          <w:rFonts w:ascii="Times New Roman" w:hAnsi="Times New Roman"/>
          <w:sz w:val="32"/>
          <w:szCs w:val="32"/>
        </w:rPr>
      </w:pPr>
    </w:p>
    <w:p w:rsidR="006C540A" w:rsidRDefault="006C540A" w:rsidP="006C540A">
      <w:pPr>
        <w:spacing w:after="120"/>
        <w:jc w:val="right"/>
        <w:rPr>
          <w:rFonts w:ascii="Times New Roman" w:hAnsi="Times New Roman"/>
          <w:sz w:val="32"/>
          <w:szCs w:val="32"/>
        </w:rPr>
      </w:pPr>
      <w:r w:rsidRPr="006C540A">
        <w:rPr>
          <w:rFonts w:ascii="Times New Roman" w:hAnsi="Times New Roman"/>
          <w:sz w:val="32"/>
          <w:szCs w:val="32"/>
        </w:rPr>
        <w:t>Rafaela Marcucci Silva</w:t>
      </w:r>
    </w:p>
    <w:p w:rsidR="006C540A" w:rsidRPr="006C540A" w:rsidRDefault="006C540A" w:rsidP="006C540A">
      <w:pPr>
        <w:spacing w:after="120"/>
        <w:jc w:val="right"/>
        <w:rPr>
          <w:rFonts w:ascii="Times New Roman" w:hAnsi="Times New Roman"/>
          <w:sz w:val="28"/>
          <w:szCs w:val="28"/>
        </w:rPr>
      </w:pPr>
      <w:r w:rsidRPr="006C540A">
        <w:rPr>
          <w:rFonts w:ascii="Times New Roman" w:hAnsi="Times New Roman"/>
          <w:sz w:val="28"/>
          <w:szCs w:val="28"/>
        </w:rPr>
        <w:t>Nº USP 5966765</w:t>
      </w:r>
    </w:p>
    <w:p w:rsidR="006C540A" w:rsidRPr="006C540A" w:rsidRDefault="006C540A" w:rsidP="006C540A">
      <w:pPr>
        <w:spacing w:after="120"/>
        <w:jc w:val="both"/>
        <w:rPr>
          <w:rFonts w:ascii="Times New Roman" w:hAnsi="Times New Roman"/>
          <w:b/>
          <w:sz w:val="24"/>
          <w:szCs w:val="24"/>
        </w:rPr>
      </w:pPr>
    </w:p>
    <w:p w:rsidR="006C540A" w:rsidRPr="006C540A" w:rsidRDefault="006C540A" w:rsidP="006C540A">
      <w:pPr>
        <w:spacing w:after="120"/>
        <w:jc w:val="both"/>
        <w:rPr>
          <w:rFonts w:ascii="Times New Roman" w:hAnsi="Times New Roman"/>
          <w:b/>
          <w:sz w:val="24"/>
          <w:szCs w:val="24"/>
        </w:rPr>
      </w:pPr>
    </w:p>
    <w:p w:rsidR="006C540A" w:rsidRDefault="006C540A" w:rsidP="006C540A">
      <w:pPr>
        <w:spacing w:after="120"/>
        <w:jc w:val="both"/>
        <w:rPr>
          <w:rFonts w:ascii="Times New Roman" w:hAnsi="Times New Roman"/>
          <w:b/>
          <w:sz w:val="24"/>
          <w:szCs w:val="24"/>
        </w:rPr>
      </w:pPr>
    </w:p>
    <w:p w:rsidR="006C540A" w:rsidRDefault="006C540A" w:rsidP="006C540A">
      <w:pPr>
        <w:spacing w:after="120"/>
        <w:jc w:val="both"/>
        <w:rPr>
          <w:rFonts w:ascii="Times New Roman" w:hAnsi="Times New Roman"/>
          <w:sz w:val="24"/>
          <w:szCs w:val="24"/>
        </w:rPr>
      </w:pPr>
    </w:p>
    <w:p w:rsidR="006C540A" w:rsidRDefault="006C540A" w:rsidP="006C540A">
      <w:pPr>
        <w:spacing w:after="120"/>
        <w:ind w:left="1080"/>
        <w:jc w:val="both"/>
        <w:rPr>
          <w:rFonts w:ascii="Times New Roman" w:hAnsi="Times New Roman"/>
          <w:sz w:val="24"/>
          <w:szCs w:val="24"/>
        </w:rPr>
      </w:pPr>
    </w:p>
    <w:p w:rsidR="006C540A" w:rsidRDefault="006C540A" w:rsidP="006C540A">
      <w:pPr>
        <w:tabs>
          <w:tab w:val="left" w:pos="1985"/>
          <w:tab w:val="left" w:pos="7655"/>
        </w:tabs>
        <w:ind w:right="49"/>
        <w:jc w:val="center"/>
      </w:pPr>
      <w:r>
        <w:t>Ribeirão Preto</w:t>
      </w:r>
    </w:p>
    <w:p w:rsidR="006C540A" w:rsidRPr="006C540A" w:rsidRDefault="006C540A" w:rsidP="006C540A">
      <w:pPr>
        <w:tabs>
          <w:tab w:val="left" w:pos="1985"/>
          <w:tab w:val="left" w:pos="7655"/>
        </w:tabs>
        <w:ind w:right="49"/>
        <w:jc w:val="center"/>
      </w:pPr>
      <w:r>
        <w:t>2017</w:t>
      </w:r>
    </w:p>
    <w:p w:rsidR="006C540A" w:rsidRDefault="006C540A" w:rsidP="0022234B">
      <w:pPr>
        <w:spacing w:after="0"/>
        <w:jc w:val="center"/>
        <w:rPr>
          <w:rFonts w:ascii="Times New Roman" w:hAnsi="Times New Roman"/>
          <w:b/>
          <w:sz w:val="24"/>
          <w:szCs w:val="24"/>
        </w:rPr>
      </w:pPr>
    </w:p>
    <w:p w:rsidR="003233A6" w:rsidRDefault="00DF5929" w:rsidP="0022234B">
      <w:pPr>
        <w:spacing w:after="0"/>
        <w:jc w:val="center"/>
        <w:rPr>
          <w:rFonts w:ascii="Times New Roman" w:hAnsi="Times New Roman"/>
          <w:b/>
          <w:sz w:val="24"/>
          <w:szCs w:val="24"/>
        </w:rPr>
      </w:pPr>
      <w:r w:rsidRPr="00DF5929">
        <w:rPr>
          <w:rFonts w:ascii="Times New Roman" w:hAnsi="Times New Roman"/>
          <w:b/>
          <w:sz w:val="24"/>
          <w:szCs w:val="24"/>
        </w:rPr>
        <w:t>Resumo</w:t>
      </w:r>
    </w:p>
    <w:p w:rsidR="0022234B" w:rsidRPr="00DF5929" w:rsidRDefault="0022234B" w:rsidP="0022234B">
      <w:pPr>
        <w:spacing w:after="0"/>
        <w:jc w:val="center"/>
        <w:rPr>
          <w:rFonts w:ascii="Times New Roman" w:hAnsi="Times New Roman"/>
          <w:b/>
          <w:sz w:val="24"/>
          <w:szCs w:val="24"/>
        </w:rPr>
      </w:pPr>
    </w:p>
    <w:p w:rsidR="003233A6" w:rsidRDefault="003233A6" w:rsidP="0022234B">
      <w:pPr>
        <w:spacing w:after="0"/>
        <w:ind w:firstLine="372"/>
        <w:jc w:val="both"/>
        <w:rPr>
          <w:rFonts w:ascii="Times New Roman" w:hAnsi="Times New Roman"/>
          <w:sz w:val="24"/>
          <w:szCs w:val="24"/>
        </w:rPr>
      </w:pPr>
      <w:r>
        <w:rPr>
          <w:rFonts w:ascii="Times New Roman" w:hAnsi="Times New Roman"/>
          <w:sz w:val="24"/>
          <w:szCs w:val="24"/>
        </w:rPr>
        <w:tab/>
      </w:r>
      <w:r w:rsidRPr="00A5282C">
        <w:rPr>
          <w:rFonts w:ascii="Times New Roman" w:hAnsi="Times New Roman"/>
          <w:sz w:val="24"/>
          <w:szCs w:val="24"/>
        </w:rPr>
        <w:t>Nos últimos anos,</w:t>
      </w:r>
      <w:r w:rsidRPr="00A5282C">
        <w:rPr>
          <w:rFonts w:ascii="Times New Roman" w:hAnsi="Times New Roman"/>
          <w:b/>
          <w:sz w:val="24"/>
          <w:szCs w:val="24"/>
        </w:rPr>
        <w:t xml:space="preserve"> </w:t>
      </w:r>
      <w:r w:rsidRPr="00A5282C">
        <w:rPr>
          <w:rFonts w:ascii="Times New Roman" w:hAnsi="Times New Roman"/>
          <w:sz w:val="24"/>
          <w:szCs w:val="24"/>
        </w:rPr>
        <w:t xml:space="preserve">a preparação de substâncias </w:t>
      </w:r>
      <w:proofErr w:type="spellStart"/>
      <w:r w:rsidRPr="00A5282C">
        <w:rPr>
          <w:rFonts w:ascii="Times New Roman" w:hAnsi="Times New Roman"/>
          <w:sz w:val="24"/>
          <w:szCs w:val="24"/>
        </w:rPr>
        <w:t>enantiomericamente</w:t>
      </w:r>
      <w:proofErr w:type="spellEnd"/>
      <w:r w:rsidRPr="00A5282C">
        <w:rPr>
          <w:rFonts w:ascii="Times New Roman" w:hAnsi="Times New Roman"/>
          <w:sz w:val="24"/>
          <w:szCs w:val="24"/>
        </w:rPr>
        <w:t xml:space="preserve"> puras tornou-se uma preocupação constante e um desafio para a indústria</w:t>
      </w:r>
      <w:r>
        <w:rPr>
          <w:rFonts w:ascii="Times New Roman" w:hAnsi="Times New Roman"/>
          <w:sz w:val="24"/>
          <w:szCs w:val="24"/>
        </w:rPr>
        <w:t xml:space="preserve"> farmacêutica</w:t>
      </w:r>
      <w:r w:rsidRPr="00A5282C">
        <w:rPr>
          <w:rFonts w:ascii="Times New Roman" w:hAnsi="Times New Roman"/>
          <w:sz w:val="24"/>
          <w:szCs w:val="24"/>
        </w:rPr>
        <w:t>. Tal fato é consequência da relação tênue entre a estrutura espacial das substâncias e os diferentes sabores, odores, processos farmacocinéticos e farmacodinâmicos e toxicidade que elas desempenham no organismo.</w:t>
      </w:r>
      <w:r>
        <w:rPr>
          <w:rFonts w:ascii="Times New Roman" w:hAnsi="Times New Roman"/>
          <w:sz w:val="24"/>
          <w:szCs w:val="24"/>
        </w:rPr>
        <w:t xml:space="preserve"> </w:t>
      </w:r>
      <w:r w:rsidRPr="00E305E0">
        <w:rPr>
          <w:rFonts w:ascii="Times New Roman" w:hAnsi="Times New Roman"/>
          <w:sz w:val="24"/>
          <w:szCs w:val="24"/>
        </w:rPr>
        <w:t xml:space="preserve">O </w:t>
      </w:r>
      <w:r>
        <w:rPr>
          <w:rFonts w:ascii="Times New Roman" w:hAnsi="Times New Roman"/>
          <w:sz w:val="24"/>
          <w:szCs w:val="24"/>
        </w:rPr>
        <w:t xml:space="preserve">aumento </w:t>
      </w:r>
      <w:r w:rsidRPr="00E305E0">
        <w:rPr>
          <w:rFonts w:ascii="Times New Roman" w:hAnsi="Times New Roman"/>
          <w:sz w:val="24"/>
          <w:szCs w:val="24"/>
        </w:rPr>
        <w:t xml:space="preserve">de interesse da indústria farmacêutica pela avaliação </w:t>
      </w:r>
      <w:proofErr w:type="spellStart"/>
      <w:r w:rsidRPr="00E305E0">
        <w:rPr>
          <w:rFonts w:ascii="Times New Roman" w:hAnsi="Times New Roman"/>
          <w:sz w:val="24"/>
          <w:szCs w:val="24"/>
        </w:rPr>
        <w:t>estereoquímica</w:t>
      </w:r>
      <w:proofErr w:type="spellEnd"/>
      <w:r w:rsidRPr="00E305E0">
        <w:rPr>
          <w:rFonts w:ascii="Times New Roman" w:hAnsi="Times New Roman"/>
          <w:sz w:val="24"/>
          <w:szCs w:val="24"/>
        </w:rPr>
        <w:t xml:space="preserve"> de um fármaco e pelo seu controle ocorreu após a descoberta, na década de 60, dos terríveis efeitos teratogênicos</w:t>
      </w:r>
      <w:r>
        <w:rPr>
          <w:rFonts w:ascii="Times New Roman" w:hAnsi="Times New Roman"/>
          <w:sz w:val="24"/>
          <w:szCs w:val="24"/>
        </w:rPr>
        <w:t xml:space="preserve"> causados</w:t>
      </w:r>
      <w:r w:rsidRPr="00E305E0">
        <w:rPr>
          <w:rFonts w:ascii="Times New Roman" w:hAnsi="Times New Roman"/>
          <w:sz w:val="24"/>
          <w:szCs w:val="24"/>
        </w:rPr>
        <w:t xml:space="preserve"> em</w:t>
      </w:r>
      <w:r>
        <w:rPr>
          <w:rFonts w:ascii="Times New Roman" w:hAnsi="Times New Roman"/>
          <w:sz w:val="24"/>
          <w:szCs w:val="24"/>
        </w:rPr>
        <w:t xml:space="preserve"> milhares de</w:t>
      </w:r>
      <w:r w:rsidRPr="00E305E0">
        <w:rPr>
          <w:rFonts w:ascii="Times New Roman" w:hAnsi="Times New Roman"/>
          <w:sz w:val="24"/>
          <w:szCs w:val="24"/>
        </w:rPr>
        <w:t xml:space="preserve"> filhos de mulheres que fizeram uso da talidomida durante a gestação. Esse fármaco era administrado às mulheres grávidas como </w:t>
      </w:r>
      <w:r>
        <w:rPr>
          <w:rFonts w:ascii="Times New Roman" w:hAnsi="Times New Roman"/>
          <w:sz w:val="24"/>
          <w:szCs w:val="24"/>
        </w:rPr>
        <w:t>uma mistura racêmica</w:t>
      </w:r>
      <w:r w:rsidRPr="00E305E0">
        <w:rPr>
          <w:rFonts w:ascii="Times New Roman" w:hAnsi="Times New Roman"/>
          <w:sz w:val="24"/>
          <w:szCs w:val="24"/>
        </w:rPr>
        <w:t xml:space="preserve"> para aliviar os sintomas de náuseas e como sedativo leve</w:t>
      </w:r>
      <w:r>
        <w:rPr>
          <w:rFonts w:ascii="Times New Roman" w:hAnsi="Times New Roman"/>
          <w:sz w:val="24"/>
          <w:szCs w:val="24"/>
        </w:rPr>
        <w:t>, principalmente, no início da gravidez</w:t>
      </w:r>
      <w:r w:rsidRPr="00E305E0">
        <w:rPr>
          <w:rFonts w:ascii="Times New Roman" w:hAnsi="Times New Roman"/>
          <w:sz w:val="24"/>
          <w:szCs w:val="24"/>
        </w:rPr>
        <w:t>.</w:t>
      </w:r>
      <w:r>
        <w:rPr>
          <w:rFonts w:ascii="Times New Roman" w:hAnsi="Times New Roman"/>
          <w:sz w:val="24"/>
          <w:szCs w:val="24"/>
        </w:rPr>
        <w:t xml:space="preserve"> </w:t>
      </w:r>
      <w:r w:rsidRPr="002A24CB">
        <w:rPr>
          <w:rFonts w:ascii="Times New Roman" w:hAnsi="Times New Roman"/>
          <w:sz w:val="24"/>
          <w:szCs w:val="24"/>
        </w:rPr>
        <w:t xml:space="preserve">Após diversos episódios envolvendo sua utilização, descobriu-se que o </w:t>
      </w:r>
      <w:proofErr w:type="spellStart"/>
      <w:r w:rsidRPr="002A24CB">
        <w:rPr>
          <w:rFonts w:ascii="Times New Roman" w:hAnsi="Times New Roman"/>
          <w:sz w:val="24"/>
          <w:szCs w:val="24"/>
        </w:rPr>
        <w:t>enantiômero</w:t>
      </w:r>
      <w:proofErr w:type="spellEnd"/>
      <w:r w:rsidRPr="002A24CB">
        <w:rPr>
          <w:rFonts w:ascii="Times New Roman" w:hAnsi="Times New Roman"/>
          <w:sz w:val="24"/>
          <w:szCs w:val="24"/>
        </w:rPr>
        <w:t xml:space="preserve"> </w:t>
      </w:r>
      <w:r w:rsidRPr="002A24CB">
        <w:rPr>
          <w:rFonts w:ascii="Times New Roman" w:hAnsi="Times New Roman"/>
          <w:i/>
          <w:sz w:val="24"/>
          <w:szCs w:val="24"/>
        </w:rPr>
        <w:t>R</w:t>
      </w:r>
      <w:r w:rsidRPr="002A24CB">
        <w:rPr>
          <w:rFonts w:ascii="Times New Roman" w:hAnsi="Times New Roman"/>
          <w:sz w:val="24"/>
          <w:szCs w:val="24"/>
        </w:rPr>
        <w:t xml:space="preserve"> era o responsável pela atividade terapêutica desejada, enquanto o </w:t>
      </w:r>
      <w:proofErr w:type="spellStart"/>
      <w:r w:rsidRPr="002A24CB">
        <w:rPr>
          <w:rFonts w:ascii="Times New Roman" w:hAnsi="Times New Roman"/>
          <w:sz w:val="24"/>
          <w:szCs w:val="24"/>
        </w:rPr>
        <w:t>enantiômero</w:t>
      </w:r>
      <w:proofErr w:type="spellEnd"/>
      <w:r w:rsidRPr="002A24CB">
        <w:rPr>
          <w:rFonts w:ascii="Times New Roman" w:hAnsi="Times New Roman"/>
          <w:sz w:val="24"/>
          <w:szCs w:val="24"/>
        </w:rPr>
        <w:t xml:space="preserve"> </w:t>
      </w:r>
      <w:r w:rsidRPr="002A24CB">
        <w:rPr>
          <w:rFonts w:ascii="Times New Roman" w:hAnsi="Times New Roman"/>
          <w:i/>
          <w:sz w:val="24"/>
          <w:szCs w:val="24"/>
        </w:rPr>
        <w:t>S</w:t>
      </w:r>
      <w:r w:rsidRPr="002A24CB">
        <w:rPr>
          <w:rFonts w:ascii="Times New Roman" w:hAnsi="Times New Roman"/>
          <w:sz w:val="24"/>
          <w:szCs w:val="24"/>
        </w:rPr>
        <w:t xml:space="preserve"> causava má formação</w:t>
      </w:r>
      <w:r w:rsidRPr="00E305E0">
        <w:rPr>
          <w:rFonts w:ascii="Times New Roman" w:hAnsi="Times New Roman"/>
          <w:sz w:val="24"/>
          <w:szCs w:val="24"/>
        </w:rPr>
        <w:t xml:space="preserve"> do feto. </w:t>
      </w:r>
      <w:r>
        <w:rPr>
          <w:rFonts w:ascii="Times New Roman" w:hAnsi="Times New Roman"/>
          <w:sz w:val="24"/>
          <w:szCs w:val="24"/>
        </w:rPr>
        <w:t xml:space="preserve">Dessa maneira, </w:t>
      </w:r>
      <w:r w:rsidRPr="00E305E0">
        <w:rPr>
          <w:rFonts w:ascii="Times New Roman" w:hAnsi="Times New Roman"/>
          <w:sz w:val="24"/>
          <w:szCs w:val="24"/>
        </w:rPr>
        <w:t>a utilização</w:t>
      </w:r>
      <w:r>
        <w:rPr>
          <w:rFonts w:ascii="Times New Roman" w:hAnsi="Times New Roman"/>
          <w:sz w:val="24"/>
          <w:szCs w:val="24"/>
        </w:rPr>
        <w:t xml:space="preserve"> do</w:t>
      </w:r>
      <w:r w:rsidRPr="00E305E0">
        <w:rPr>
          <w:rFonts w:ascii="Times New Roman" w:hAnsi="Times New Roman"/>
          <w:sz w:val="24"/>
          <w:szCs w:val="24"/>
        </w:rPr>
        <w:t xml:space="preserve"> </w:t>
      </w:r>
      <w:r w:rsidRPr="00E305E0">
        <w:rPr>
          <w:rFonts w:ascii="Times New Roman" w:hAnsi="Times New Roman"/>
          <w:i/>
          <w:sz w:val="24"/>
          <w:szCs w:val="24"/>
        </w:rPr>
        <w:t>R-</w:t>
      </w:r>
      <w:r w:rsidRPr="00E305E0">
        <w:rPr>
          <w:rFonts w:ascii="Times New Roman" w:hAnsi="Times New Roman"/>
          <w:sz w:val="24"/>
          <w:szCs w:val="24"/>
        </w:rPr>
        <w:t>(</w:t>
      </w:r>
      <w:r w:rsidRPr="00E305E0">
        <w:rPr>
          <w:rFonts w:ascii="Times New Roman" w:hAnsi="Times New Roman"/>
          <w:i/>
          <w:sz w:val="24"/>
          <w:szCs w:val="24"/>
        </w:rPr>
        <w:t>+</w:t>
      </w:r>
      <w:r w:rsidRPr="00E305E0">
        <w:rPr>
          <w:rFonts w:ascii="Times New Roman" w:hAnsi="Times New Roman"/>
          <w:sz w:val="24"/>
          <w:szCs w:val="24"/>
        </w:rPr>
        <w:t>)</w:t>
      </w:r>
      <w:r>
        <w:rPr>
          <w:rFonts w:ascii="Times New Roman" w:hAnsi="Times New Roman"/>
          <w:sz w:val="24"/>
          <w:szCs w:val="24"/>
        </w:rPr>
        <w:t>-</w:t>
      </w:r>
      <w:proofErr w:type="spellStart"/>
      <w:r w:rsidRPr="00E305E0">
        <w:rPr>
          <w:rFonts w:ascii="Times New Roman" w:hAnsi="Times New Roman"/>
          <w:sz w:val="24"/>
          <w:szCs w:val="24"/>
        </w:rPr>
        <w:t>enantiômero</w:t>
      </w:r>
      <w:proofErr w:type="spellEnd"/>
      <w:r w:rsidRPr="00E305E0">
        <w:rPr>
          <w:rFonts w:ascii="Times New Roman" w:hAnsi="Times New Roman"/>
          <w:sz w:val="24"/>
          <w:szCs w:val="24"/>
        </w:rPr>
        <w:t xml:space="preserve"> puro passou a ser a indicação terapêutica</w:t>
      </w:r>
      <w:r w:rsidRPr="00E305E0">
        <w:rPr>
          <w:rFonts w:ascii="Times New Roman" w:hAnsi="Times New Roman"/>
          <w:i/>
          <w:sz w:val="24"/>
          <w:szCs w:val="24"/>
        </w:rPr>
        <w:t>,</w:t>
      </w:r>
      <w:r w:rsidRPr="00E305E0">
        <w:rPr>
          <w:rFonts w:ascii="Times New Roman" w:hAnsi="Times New Roman"/>
          <w:sz w:val="24"/>
          <w:szCs w:val="24"/>
        </w:rPr>
        <w:t xml:space="preserve"> pois </w:t>
      </w:r>
      <w:proofErr w:type="gramStart"/>
      <w:r w:rsidRPr="00E305E0">
        <w:rPr>
          <w:rFonts w:ascii="Times New Roman" w:hAnsi="Times New Roman"/>
          <w:sz w:val="24"/>
          <w:szCs w:val="24"/>
        </w:rPr>
        <w:t>acreditava-se</w:t>
      </w:r>
      <w:proofErr w:type="gramEnd"/>
      <w:r w:rsidRPr="00E305E0">
        <w:rPr>
          <w:rFonts w:ascii="Times New Roman" w:hAnsi="Times New Roman"/>
          <w:sz w:val="24"/>
          <w:szCs w:val="24"/>
        </w:rPr>
        <w:t xml:space="preserve"> que ele não seria capaz de promover os efeitos colaterais. Todavia, infelizmente, as condições fisiológicas </w:t>
      </w:r>
      <w:r>
        <w:rPr>
          <w:rFonts w:ascii="Times New Roman" w:hAnsi="Times New Roman"/>
          <w:sz w:val="24"/>
          <w:szCs w:val="24"/>
        </w:rPr>
        <w:t>provocavam</w:t>
      </w:r>
      <w:r w:rsidRPr="00E305E0">
        <w:rPr>
          <w:rFonts w:ascii="Times New Roman" w:hAnsi="Times New Roman"/>
          <w:sz w:val="24"/>
          <w:szCs w:val="24"/>
        </w:rPr>
        <w:t xml:space="preserve"> </w:t>
      </w:r>
      <w:r>
        <w:rPr>
          <w:rFonts w:ascii="Times New Roman" w:hAnsi="Times New Roman"/>
          <w:sz w:val="24"/>
          <w:szCs w:val="24"/>
        </w:rPr>
        <w:t xml:space="preserve">inversão da </w:t>
      </w:r>
      <w:proofErr w:type="spellStart"/>
      <w:r>
        <w:rPr>
          <w:rFonts w:ascii="Times New Roman" w:hAnsi="Times New Roman"/>
          <w:sz w:val="24"/>
          <w:szCs w:val="24"/>
        </w:rPr>
        <w:t>quiralidade</w:t>
      </w:r>
      <w:proofErr w:type="spellEnd"/>
      <w:r>
        <w:rPr>
          <w:rFonts w:ascii="Times New Roman" w:hAnsi="Times New Roman"/>
          <w:sz w:val="24"/>
          <w:szCs w:val="24"/>
        </w:rPr>
        <w:t xml:space="preserve"> entre os </w:t>
      </w:r>
      <w:proofErr w:type="spellStart"/>
      <w:r>
        <w:rPr>
          <w:rFonts w:ascii="Times New Roman" w:hAnsi="Times New Roman"/>
          <w:sz w:val="24"/>
          <w:szCs w:val="24"/>
        </w:rPr>
        <w:t>enantiômeros</w:t>
      </w:r>
      <w:proofErr w:type="spellEnd"/>
      <w:r w:rsidRPr="00E305E0">
        <w:rPr>
          <w:rFonts w:ascii="Times New Roman" w:hAnsi="Times New Roman"/>
          <w:sz w:val="24"/>
          <w:szCs w:val="24"/>
        </w:rPr>
        <w:t xml:space="preserve"> </w:t>
      </w:r>
      <w:r w:rsidRPr="00E305E0">
        <w:rPr>
          <w:rFonts w:ascii="Times New Roman" w:hAnsi="Times New Roman"/>
          <w:i/>
          <w:sz w:val="24"/>
          <w:szCs w:val="24"/>
        </w:rPr>
        <w:t xml:space="preserve">R </w:t>
      </w:r>
      <w:r w:rsidRPr="00E305E0">
        <w:rPr>
          <w:rFonts w:ascii="Times New Roman" w:hAnsi="Times New Roman"/>
          <w:sz w:val="24"/>
          <w:szCs w:val="24"/>
        </w:rPr>
        <w:t>e</w:t>
      </w:r>
      <w:r w:rsidRPr="00E305E0">
        <w:rPr>
          <w:rFonts w:ascii="Times New Roman" w:hAnsi="Times New Roman"/>
          <w:i/>
          <w:sz w:val="24"/>
          <w:szCs w:val="24"/>
        </w:rPr>
        <w:t xml:space="preserve"> S </w:t>
      </w:r>
      <w:r w:rsidRPr="00E305E0">
        <w:rPr>
          <w:rFonts w:ascii="Times New Roman" w:hAnsi="Times New Roman"/>
          <w:sz w:val="24"/>
          <w:szCs w:val="24"/>
        </w:rPr>
        <w:t>no</w:t>
      </w:r>
      <w:r>
        <w:rPr>
          <w:rFonts w:ascii="Times New Roman" w:hAnsi="Times New Roman"/>
          <w:sz w:val="24"/>
          <w:szCs w:val="24"/>
        </w:rPr>
        <w:t xml:space="preserve"> interior do</w:t>
      </w:r>
      <w:r w:rsidRPr="00E305E0">
        <w:rPr>
          <w:rFonts w:ascii="Times New Roman" w:hAnsi="Times New Roman"/>
          <w:sz w:val="24"/>
          <w:szCs w:val="24"/>
        </w:rPr>
        <w:t xml:space="preserve"> organismo</w:t>
      </w:r>
      <w:r>
        <w:rPr>
          <w:rFonts w:ascii="Times New Roman" w:hAnsi="Times New Roman"/>
          <w:sz w:val="24"/>
          <w:szCs w:val="24"/>
        </w:rPr>
        <w:t>,</w:t>
      </w:r>
      <w:r w:rsidRPr="00E305E0">
        <w:rPr>
          <w:rFonts w:ascii="Times New Roman" w:hAnsi="Times New Roman"/>
          <w:sz w:val="24"/>
          <w:szCs w:val="24"/>
        </w:rPr>
        <w:t xml:space="preserve"> o que </w:t>
      </w:r>
      <w:r>
        <w:rPr>
          <w:rFonts w:ascii="Times New Roman" w:hAnsi="Times New Roman"/>
          <w:sz w:val="24"/>
          <w:szCs w:val="24"/>
        </w:rPr>
        <w:t>levou</w:t>
      </w:r>
      <w:r w:rsidRPr="00E305E0">
        <w:rPr>
          <w:rFonts w:ascii="Times New Roman" w:hAnsi="Times New Roman"/>
          <w:sz w:val="24"/>
          <w:szCs w:val="24"/>
        </w:rPr>
        <w:t xml:space="preserve"> a suspensão de</w:t>
      </w:r>
      <w:r>
        <w:rPr>
          <w:rFonts w:ascii="Times New Roman" w:hAnsi="Times New Roman"/>
          <w:sz w:val="24"/>
          <w:szCs w:val="24"/>
        </w:rPr>
        <w:t xml:space="preserve"> seu</w:t>
      </w:r>
      <w:r w:rsidRPr="00E305E0">
        <w:rPr>
          <w:rFonts w:ascii="Times New Roman" w:hAnsi="Times New Roman"/>
          <w:sz w:val="24"/>
          <w:szCs w:val="24"/>
        </w:rPr>
        <w:t xml:space="preserve"> uso para esse tipo de tratamento</w:t>
      </w:r>
      <w:r>
        <w:rPr>
          <w:rFonts w:ascii="Times New Roman" w:hAnsi="Times New Roman"/>
          <w:sz w:val="24"/>
          <w:szCs w:val="24"/>
        </w:rPr>
        <w:t xml:space="preserve">. Portanto, uma racionalização sobre a importância do controle da </w:t>
      </w:r>
      <w:proofErr w:type="spellStart"/>
      <w:r>
        <w:rPr>
          <w:rFonts w:ascii="Times New Roman" w:hAnsi="Times New Roman"/>
          <w:sz w:val="24"/>
          <w:szCs w:val="24"/>
        </w:rPr>
        <w:t>estereoquímica</w:t>
      </w:r>
      <w:proofErr w:type="spellEnd"/>
      <w:r>
        <w:rPr>
          <w:rFonts w:ascii="Times New Roman" w:hAnsi="Times New Roman"/>
          <w:sz w:val="24"/>
          <w:szCs w:val="24"/>
        </w:rPr>
        <w:t xml:space="preserve"> dos fármacos </w:t>
      </w:r>
      <w:proofErr w:type="spellStart"/>
      <w:r>
        <w:rPr>
          <w:rFonts w:ascii="Times New Roman" w:hAnsi="Times New Roman"/>
          <w:sz w:val="24"/>
          <w:szCs w:val="24"/>
        </w:rPr>
        <w:t>quirais</w:t>
      </w:r>
      <w:proofErr w:type="spellEnd"/>
      <w:r>
        <w:rPr>
          <w:rFonts w:ascii="Times New Roman" w:hAnsi="Times New Roman"/>
          <w:sz w:val="24"/>
          <w:szCs w:val="24"/>
        </w:rPr>
        <w:t xml:space="preserve"> e a regulamentação da sua produção são fundamentais e devem ser priorizadas pelas autoridades e pela indústria farmacêutica.</w:t>
      </w:r>
      <w:r w:rsidR="00005647">
        <w:rPr>
          <w:rFonts w:ascii="Times New Roman" w:hAnsi="Times New Roman"/>
          <w:sz w:val="24"/>
          <w:szCs w:val="24"/>
        </w:rPr>
        <w:t xml:space="preserve"> A fim de</w:t>
      </w:r>
      <w:r w:rsidR="00A77CBE">
        <w:rPr>
          <w:rFonts w:ascii="Times New Roman" w:hAnsi="Times New Roman"/>
          <w:sz w:val="24"/>
          <w:szCs w:val="24"/>
        </w:rPr>
        <w:t xml:space="preserve"> contribuir para </w:t>
      </w:r>
      <w:r w:rsidR="0072621D">
        <w:rPr>
          <w:rFonts w:ascii="Times New Roman" w:hAnsi="Times New Roman"/>
          <w:sz w:val="24"/>
          <w:szCs w:val="24"/>
        </w:rPr>
        <w:t xml:space="preserve">alcançar essa meta, foi feito um mapeamento bibliográfico para identificar artigos que enfatizassem a importância e auxiliassem na superação das limitações na produção de fármacos </w:t>
      </w:r>
      <w:proofErr w:type="spellStart"/>
      <w:r w:rsidR="0072621D">
        <w:rPr>
          <w:rFonts w:ascii="Times New Roman" w:hAnsi="Times New Roman"/>
          <w:sz w:val="24"/>
          <w:szCs w:val="24"/>
        </w:rPr>
        <w:t>quirais</w:t>
      </w:r>
      <w:proofErr w:type="spellEnd"/>
      <w:r w:rsidR="0072621D">
        <w:rPr>
          <w:rFonts w:ascii="Times New Roman" w:hAnsi="Times New Roman"/>
          <w:sz w:val="24"/>
          <w:szCs w:val="24"/>
        </w:rPr>
        <w:t>.</w:t>
      </w:r>
    </w:p>
    <w:p w:rsidR="0022234B" w:rsidRPr="00005647" w:rsidRDefault="0022234B" w:rsidP="0022234B">
      <w:pPr>
        <w:spacing w:after="0"/>
        <w:ind w:left="1185"/>
        <w:jc w:val="both"/>
        <w:rPr>
          <w:rFonts w:ascii="Times New Roman" w:hAnsi="Times New Roman"/>
          <w:b/>
          <w:sz w:val="24"/>
          <w:szCs w:val="24"/>
        </w:rPr>
      </w:pPr>
    </w:p>
    <w:p w:rsidR="0022234B" w:rsidRDefault="0022234B" w:rsidP="007112D1">
      <w:pPr>
        <w:spacing w:after="0"/>
        <w:jc w:val="both"/>
        <w:rPr>
          <w:rFonts w:ascii="Times New Roman" w:hAnsi="Times New Roman"/>
          <w:b/>
          <w:sz w:val="24"/>
          <w:szCs w:val="24"/>
        </w:rPr>
      </w:pPr>
      <w:r>
        <w:rPr>
          <w:rFonts w:ascii="Times New Roman" w:hAnsi="Times New Roman"/>
          <w:b/>
          <w:sz w:val="24"/>
          <w:szCs w:val="24"/>
        </w:rPr>
        <w:t>1. Introdução</w:t>
      </w:r>
    </w:p>
    <w:p w:rsidR="007112D1" w:rsidRPr="00005647" w:rsidRDefault="007112D1" w:rsidP="007112D1">
      <w:pPr>
        <w:spacing w:after="0"/>
        <w:jc w:val="both"/>
        <w:rPr>
          <w:rFonts w:ascii="Times New Roman" w:hAnsi="Times New Roman"/>
          <w:b/>
          <w:sz w:val="24"/>
          <w:szCs w:val="24"/>
        </w:rPr>
      </w:pPr>
    </w:p>
    <w:p w:rsidR="00264BB4" w:rsidRPr="0067161B" w:rsidRDefault="00264BB4" w:rsidP="0022234B">
      <w:pPr>
        <w:spacing w:after="0"/>
        <w:ind w:firstLine="371"/>
        <w:jc w:val="both"/>
        <w:rPr>
          <w:rFonts w:ascii="Times New Roman" w:hAnsi="Times New Roman"/>
          <w:b/>
          <w:sz w:val="24"/>
          <w:szCs w:val="24"/>
        </w:rPr>
      </w:pPr>
      <w:r w:rsidRPr="00264BB4">
        <w:rPr>
          <w:rFonts w:ascii="Times New Roman" w:hAnsi="Times New Roman"/>
          <w:sz w:val="24"/>
          <w:szCs w:val="24"/>
        </w:rPr>
        <w:t xml:space="preserve">A </w:t>
      </w:r>
      <w:proofErr w:type="spellStart"/>
      <w:r w:rsidRPr="00264BB4">
        <w:rPr>
          <w:rFonts w:ascii="Times New Roman" w:hAnsi="Times New Roman"/>
          <w:sz w:val="24"/>
          <w:szCs w:val="24"/>
        </w:rPr>
        <w:t>quiralidade</w:t>
      </w:r>
      <w:proofErr w:type="spellEnd"/>
      <w:r w:rsidRPr="00264BB4">
        <w:rPr>
          <w:rFonts w:ascii="Times New Roman" w:hAnsi="Times New Roman"/>
          <w:sz w:val="24"/>
          <w:szCs w:val="24"/>
        </w:rPr>
        <w:t xml:space="preserve"> desempenha um papel importante tanto na vida das plantas e animais, como também na agricultura, na indústria farmacêutica e </w:t>
      </w:r>
      <w:proofErr w:type="gramStart"/>
      <w:r w:rsidRPr="00264BB4">
        <w:rPr>
          <w:rFonts w:ascii="Times New Roman" w:hAnsi="Times New Roman"/>
          <w:sz w:val="24"/>
          <w:szCs w:val="24"/>
        </w:rPr>
        <w:t>química</w:t>
      </w:r>
      <w:proofErr w:type="gramEnd"/>
      <w:r w:rsidR="0067161B">
        <w:rPr>
          <w:rFonts w:ascii="Times New Roman" w:hAnsi="Times New Roman"/>
          <w:sz w:val="24"/>
          <w:szCs w:val="24"/>
        </w:rPr>
        <w:t xml:space="preserve"> </w:t>
      </w:r>
      <w:r w:rsidR="004616DF">
        <w:rPr>
          <w:rFonts w:ascii="Times New Roman" w:hAnsi="Times New Roman"/>
          <w:sz w:val="24"/>
          <w:szCs w:val="24"/>
        </w:rPr>
        <w:fldChar w:fldCharType="begin" w:fldLock="1"/>
      </w:r>
      <w:r w:rsidR="009112EB">
        <w:rPr>
          <w:rFonts w:ascii="Times New Roman" w:hAnsi="Times New Roman"/>
          <w:sz w:val="24"/>
          <w:szCs w:val="24"/>
        </w:rPr>
        <w:instrText>ADDIN CSL_CITATION { "citationItems" : [ { "id" : "ITEM-1", "itemData" : { "DOI" : "10.1039/c000408c", "ISBN" : "0306-0012", "ISSN" : "0306-0012", "PMID" : "20852776", "abstract" : "Pharmacologically active compounds including both legally used pharmaceuticals and illicit drugs are potent environmental contaminants. Extensive research has been undertaken over the recent years to understand their environmental fate and toxicity. The one very important phenomenon that has been overlooked by environmental researchers studying the fate of pharmacologically active compounds in the environment is their chirality. Chiral drugs can exist in the form of enantiomers, which have similar physicochemical properties but differ in their biological properties such as distribution, metabolism and excretion, as these processes (due to stereospecific interactions of enantiomers with biological systems) usually favour one enantiomer over the other. Additionally, due to different pharmacological activity, enantiomers of chiral drugs can differ in toxicity. Furthermore, degradation of chiral drugs during wastewater treatment and in the environment can be stereoselective and can lead to chiral products of varied toxicity. The distribution of different enantiomers of the same chiral drug in the aquatic environment and biota can also be stereoselective. Biological processes can lead to stereoselective enrichment or depletion of the enantiomeric composition of chiral drugs. As a result the very same drug might reveal different activity and toxicity and this will depend on its origin and exposure to several factors governing its fate in the environment. In this critical review a discussion of the importance of chirality of pharmacologically active compounds in the environmental context is undertaken and suggestions for directions in further research are made. Several groups of chiral drugs of major environmental relevance are discussed and their pharmacological action and disposition in the body is also outlined as it is a key factor in developing a full understanding of their environmental occurrence, fate and toxicity. This review will be of interest to environmental scientists, especially those interested in issues associated with environmental contamination with pharmacologically active compounds and chiral pollutants. As the review will outline current state of knowledge on chiral drugs, it will be of value to anyone interested in the phenomenon of chirality, chiral drugs, their stereoselective disposition in the body and environmental fate (212 references).", "author" : [ { "dropping-particle" : "", "family" : "KASPRZYK-HORDERN", "given" : "Barbara", "non-dropping-particle" : "", "parse-names" : false, "suffix" : "" } ], "container-title" : "Chemical Society Reviews", "id" : "ITEM-1", "issued" : { "date-parts" : [ [ "2010" ] ] }, "title" : "Pharmacologically active compounds in the environment and their chirality", "type" : "article-journal" }, "uris" : [ "http://www.mendeley.com/documents/?uuid=a2dc2480-16b2-3795-ae64-32e306fe508d" ] } ], "mendeley" : { "formattedCitation" : "(KASPRZYK-HORDERN, 2010)", "plainTextFormattedCitation" : "(KASPRZYK-HORDERN, 2010)", "previouslyFormattedCitation" : "(KASPRZYK-HORDERN, 2010)" }, "properties" : {  }, "schema" : "https://github.com/citation-style-language/schema/raw/master/csl-citation.json" }</w:instrText>
      </w:r>
      <w:r w:rsidR="004616DF">
        <w:rPr>
          <w:rFonts w:ascii="Times New Roman" w:hAnsi="Times New Roman"/>
          <w:sz w:val="24"/>
          <w:szCs w:val="24"/>
        </w:rPr>
        <w:fldChar w:fldCharType="separate"/>
      </w:r>
      <w:r w:rsidR="009112EB" w:rsidRPr="009112EB">
        <w:rPr>
          <w:rFonts w:ascii="Times New Roman" w:hAnsi="Times New Roman"/>
          <w:noProof/>
          <w:sz w:val="24"/>
          <w:szCs w:val="24"/>
        </w:rPr>
        <w:t>(KASPRZYK-HORDERN, 2010)</w:t>
      </w:r>
      <w:r w:rsidR="004616DF">
        <w:rPr>
          <w:rFonts w:ascii="Times New Roman" w:hAnsi="Times New Roman"/>
          <w:sz w:val="24"/>
          <w:szCs w:val="24"/>
        </w:rPr>
        <w:fldChar w:fldCharType="end"/>
      </w:r>
      <w:proofErr w:type="gramStart"/>
      <w:r w:rsidR="0067161B">
        <w:rPr>
          <w:rFonts w:ascii="Times New Roman" w:hAnsi="Times New Roman"/>
          <w:sz w:val="24"/>
          <w:szCs w:val="24"/>
        </w:rPr>
        <w:t>.</w:t>
      </w:r>
      <w:proofErr w:type="gramEnd"/>
      <w:r w:rsidRPr="00264BB4">
        <w:rPr>
          <w:rFonts w:ascii="Times New Roman" w:hAnsi="Times New Roman"/>
          <w:sz w:val="24"/>
          <w:szCs w:val="24"/>
        </w:rPr>
        <w:t xml:space="preserve">Trata-se de uma propriedade de assimetria das moléculas, ou seja, um objeto que não pode ser sobreposto à sua imagem especular é considerado </w:t>
      </w:r>
      <w:proofErr w:type="spellStart"/>
      <w:r w:rsidRPr="00264BB4">
        <w:rPr>
          <w:rFonts w:ascii="Times New Roman" w:hAnsi="Times New Roman"/>
          <w:sz w:val="24"/>
          <w:szCs w:val="24"/>
        </w:rPr>
        <w:t>quiral</w:t>
      </w:r>
      <w:proofErr w:type="spellEnd"/>
      <w:r w:rsidRPr="00264BB4">
        <w:rPr>
          <w:rFonts w:ascii="Times New Roman" w:hAnsi="Times New Roman"/>
          <w:sz w:val="24"/>
          <w:szCs w:val="24"/>
        </w:rPr>
        <w:t xml:space="preserve">. Como exemplo, </w:t>
      </w:r>
      <w:proofErr w:type="gramStart"/>
      <w:r w:rsidRPr="00264BB4">
        <w:rPr>
          <w:rFonts w:ascii="Times New Roman" w:hAnsi="Times New Roman"/>
          <w:sz w:val="24"/>
          <w:szCs w:val="24"/>
        </w:rPr>
        <w:t>pode-se</w:t>
      </w:r>
      <w:proofErr w:type="gramEnd"/>
      <w:r w:rsidRPr="00264BB4">
        <w:rPr>
          <w:rFonts w:ascii="Times New Roman" w:hAnsi="Times New Roman"/>
          <w:sz w:val="24"/>
          <w:szCs w:val="24"/>
        </w:rPr>
        <w:t xml:space="preserve"> citar as mãos. Em contrapartida, um objeto </w:t>
      </w:r>
      <w:proofErr w:type="spellStart"/>
      <w:r w:rsidRPr="00264BB4">
        <w:rPr>
          <w:rFonts w:ascii="Times New Roman" w:hAnsi="Times New Roman"/>
          <w:sz w:val="24"/>
          <w:szCs w:val="24"/>
        </w:rPr>
        <w:t>aquiral</w:t>
      </w:r>
      <w:proofErr w:type="spellEnd"/>
      <w:r w:rsidRPr="00264BB4">
        <w:rPr>
          <w:rFonts w:ascii="Times New Roman" w:hAnsi="Times New Roman"/>
          <w:sz w:val="24"/>
          <w:szCs w:val="24"/>
        </w:rPr>
        <w:t xml:space="preserve"> é aquele que pode ser so</w:t>
      </w:r>
      <w:r w:rsidR="0067161B">
        <w:rPr>
          <w:rFonts w:ascii="Times New Roman" w:hAnsi="Times New Roman"/>
          <w:sz w:val="24"/>
          <w:szCs w:val="24"/>
        </w:rPr>
        <w:t xml:space="preserve">breposto à sua imagem </w:t>
      </w:r>
      <w:proofErr w:type="gramStart"/>
      <w:r w:rsidR="0067161B">
        <w:rPr>
          <w:rFonts w:ascii="Times New Roman" w:hAnsi="Times New Roman"/>
          <w:sz w:val="24"/>
          <w:szCs w:val="24"/>
        </w:rPr>
        <w:t>especular</w:t>
      </w:r>
      <w:proofErr w:type="gramEnd"/>
      <w:r w:rsidR="0067161B">
        <w:rPr>
          <w:rFonts w:ascii="Times New Roman" w:hAnsi="Times New Roman"/>
          <w:sz w:val="24"/>
          <w:szCs w:val="24"/>
        </w:rPr>
        <w:t xml:space="preserve"> </w:t>
      </w:r>
      <w:r w:rsidR="004616DF">
        <w:rPr>
          <w:rFonts w:ascii="Times New Roman" w:hAnsi="Times New Roman"/>
          <w:sz w:val="24"/>
          <w:szCs w:val="24"/>
        </w:rPr>
        <w:fldChar w:fldCharType="begin" w:fldLock="1"/>
      </w:r>
      <w:r w:rsidR="009112EB">
        <w:rPr>
          <w:rFonts w:ascii="Times New Roman" w:hAnsi="Times New Roman"/>
          <w:sz w:val="24"/>
          <w:szCs w:val="24"/>
        </w:rPr>
        <w:instrText>ADDIN CSL_CITATION { "citationItems" : [ { "id" : "ITEM-1", "itemData" : { "author" : [ { "dropping-particle" : "", "family" : "COELHO", "given" : "F. A.S.", "non-dropping-particle" : "", "parse-names" : false, "suffix" : "" } ], "container-title" : "Cadernos Tem\u00e1ticos de Qu\u00edmica Nova na Escola", "id" : "ITEM-1", "issue" : "3", "issued" : { "date-parts" : [ [ "2001" ] ] }, "page" : "23-32", "title" : "F\u00e1rmacos e quiralidade", "type" : "article-journal" }, "uris" : [ "http://www.mendeley.com/documents/?uuid=4244b8be-f77d-38da-8123-23d6da9c9389" ] }, { "id" : "ITEM-2", "itemData" : { "ISBN" : "0987624229", "ISSN" : "09744304", "abstract" : "The belief that pure single enantiomers would provide safer and more effective alternatives to racemates, has resulted in a greater stress on the evaluation and development of single isomers as drug products. Almost half of the drugs in use today are chiral. It is well established that the pharmacological activity is mostly restricted to one of the enantiomers and the individual enantiomers of racemic drugs frequently differ in their biological effects. In many cases, the inactive enantiomer shows unwanted side effects or even toxic effects. For pharmacological studies of such drugs, there is, therefore a need for an effective means of separating and quantifying the enantiomers in biological samples. The chiral switch process (racemate to single enantiomer ) has resulted in a number of agents being re-marketed as single enantiomer products.", "author" : [ { "dropping-particle" : "", "family" : "SEKHON", "given" : "BHUPINDER SINGH", "non-dropping-particle" : "", "parse-names" : false, "suffix" : "" } ], "container-title" : "International Journal of PharmTech Research", "id" : "ITEM-2", "issued" : { "date-parts" : [ [ "2010" ] ] }, "title" : "Enantioseparation of chiral drugs - An overview", "type" : "article-journal" }, "uris" : [ "http://www.mendeley.com/documents/?uuid=294bdb55-2da4-397c-b803-e85afd91b673" ] } ], "mendeley" : { "formattedCitation" : "(COELHO, 2001; SEKHON, 2010)", "plainTextFormattedCitation" : "(COELHO, 2001; SEKHON, 2010)", "previouslyFormattedCitation" : "(COELHO, 2001; SEKHON, 2010)" }, "properties" : {  }, "schema" : "https://github.com/citation-style-language/schema/raw/master/csl-citation.json" }</w:instrText>
      </w:r>
      <w:r w:rsidR="004616DF">
        <w:rPr>
          <w:rFonts w:ascii="Times New Roman" w:hAnsi="Times New Roman"/>
          <w:sz w:val="24"/>
          <w:szCs w:val="24"/>
        </w:rPr>
        <w:fldChar w:fldCharType="separate"/>
      </w:r>
      <w:r w:rsidR="009112EB" w:rsidRPr="009112EB">
        <w:rPr>
          <w:rFonts w:ascii="Times New Roman" w:hAnsi="Times New Roman"/>
          <w:noProof/>
          <w:sz w:val="24"/>
          <w:szCs w:val="24"/>
        </w:rPr>
        <w:t>(COELHO, 2001; SEKHON, 2010)</w:t>
      </w:r>
      <w:r w:rsidR="004616DF">
        <w:rPr>
          <w:rFonts w:ascii="Times New Roman" w:hAnsi="Times New Roman"/>
          <w:sz w:val="24"/>
          <w:szCs w:val="24"/>
        </w:rPr>
        <w:fldChar w:fldCharType="end"/>
      </w:r>
      <w:r w:rsidR="0067161B">
        <w:rPr>
          <w:rFonts w:ascii="Times New Roman" w:hAnsi="Times New Roman"/>
          <w:sz w:val="24"/>
          <w:szCs w:val="24"/>
        </w:rPr>
        <w:t xml:space="preserve">. </w:t>
      </w:r>
      <w:r w:rsidRPr="00264BB4">
        <w:rPr>
          <w:rFonts w:ascii="Times New Roman" w:hAnsi="Times New Roman"/>
          <w:sz w:val="24"/>
          <w:szCs w:val="24"/>
        </w:rPr>
        <w:t xml:space="preserve">Diversas moléculas orgânicas apresentam essa característica e são conhecidas por </w:t>
      </w:r>
      <w:proofErr w:type="spellStart"/>
      <w:r w:rsidRPr="00264BB4">
        <w:rPr>
          <w:rFonts w:ascii="Times New Roman" w:hAnsi="Times New Roman"/>
          <w:sz w:val="24"/>
          <w:szCs w:val="24"/>
        </w:rPr>
        <w:t>enantiômeros</w:t>
      </w:r>
      <w:proofErr w:type="spellEnd"/>
      <w:r w:rsidRPr="00264BB4">
        <w:rPr>
          <w:rFonts w:ascii="Times New Roman" w:hAnsi="Times New Roman"/>
          <w:sz w:val="24"/>
          <w:szCs w:val="24"/>
        </w:rPr>
        <w:t xml:space="preserve">. </w:t>
      </w:r>
    </w:p>
    <w:p w:rsidR="00264BB4" w:rsidRPr="006B1FAF" w:rsidRDefault="00264BB4" w:rsidP="0022234B">
      <w:pPr>
        <w:spacing w:after="0"/>
        <w:ind w:firstLine="371"/>
        <w:jc w:val="both"/>
        <w:rPr>
          <w:rFonts w:ascii="Times New Roman" w:hAnsi="Times New Roman"/>
          <w:color w:val="000000"/>
          <w:sz w:val="24"/>
          <w:szCs w:val="24"/>
        </w:rPr>
      </w:pPr>
      <w:r w:rsidRPr="006B1FAF">
        <w:rPr>
          <w:rFonts w:ascii="Times New Roman" w:hAnsi="Times New Roman"/>
          <w:color w:val="000000"/>
          <w:sz w:val="24"/>
          <w:szCs w:val="24"/>
        </w:rPr>
        <w:t xml:space="preserve">A atividade de fármacos que possuem centro </w:t>
      </w:r>
      <w:proofErr w:type="spellStart"/>
      <w:r w:rsidRPr="006B1FAF">
        <w:rPr>
          <w:rFonts w:ascii="Times New Roman" w:hAnsi="Times New Roman"/>
          <w:color w:val="000000"/>
          <w:sz w:val="24"/>
          <w:szCs w:val="24"/>
        </w:rPr>
        <w:t>quiral</w:t>
      </w:r>
      <w:proofErr w:type="spellEnd"/>
      <w:r w:rsidRPr="006B1FAF">
        <w:rPr>
          <w:rFonts w:ascii="Times New Roman" w:hAnsi="Times New Roman"/>
          <w:color w:val="000000"/>
          <w:sz w:val="24"/>
          <w:szCs w:val="24"/>
        </w:rPr>
        <w:t xml:space="preserve"> e, portanto, um par </w:t>
      </w:r>
      <w:proofErr w:type="spellStart"/>
      <w:r w:rsidRPr="006B1FAF">
        <w:rPr>
          <w:rFonts w:ascii="Times New Roman" w:hAnsi="Times New Roman"/>
          <w:color w:val="000000"/>
          <w:sz w:val="24"/>
          <w:szCs w:val="24"/>
        </w:rPr>
        <w:t>enantiomérico</w:t>
      </w:r>
      <w:proofErr w:type="spellEnd"/>
      <w:r w:rsidRPr="006B1FAF">
        <w:rPr>
          <w:rFonts w:ascii="Times New Roman" w:hAnsi="Times New Roman"/>
          <w:color w:val="000000"/>
          <w:sz w:val="24"/>
          <w:szCs w:val="24"/>
        </w:rPr>
        <w:t xml:space="preserve">, pode ser diferente em relação à farmacocinética e farmacodinâmica que os </w:t>
      </w:r>
      <w:proofErr w:type="spellStart"/>
      <w:r w:rsidRPr="006B1FAF">
        <w:rPr>
          <w:rFonts w:ascii="Times New Roman" w:hAnsi="Times New Roman"/>
          <w:color w:val="000000"/>
          <w:sz w:val="24"/>
          <w:szCs w:val="24"/>
        </w:rPr>
        <w:t>enantiômeros</w:t>
      </w:r>
      <w:proofErr w:type="spellEnd"/>
      <w:r w:rsidRPr="006B1FAF">
        <w:rPr>
          <w:rFonts w:ascii="Times New Roman" w:hAnsi="Times New Roman"/>
          <w:color w:val="000000"/>
          <w:sz w:val="24"/>
          <w:szCs w:val="24"/>
        </w:rPr>
        <w:t xml:space="preserve"> apresentam no organismo, o que pode provocar a redução </w:t>
      </w:r>
      <w:r w:rsidRPr="006B1FAF">
        <w:rPr>
          <w:rFonts w:ascii="Times New Roman" w:hAnsi="Times New Roman"/>
          <w:color w:val="000000"/>
          <w:sz w:val="24"/>
          <w:szCs w:val="24"/>
          <w:shd w:val="clear" w:color="auto" w:fill="FFFFFF"/>
        </w:rPr>
        <w:t>do efeito farmacológico pretendido, à sua total supressão o</w:t>
      </w:r>
      <w:r>
        <w:rPr>
          <w:rFonts w:ascii="Times New Roman" w:hAnsi="Times New Roman"/>
          <w:color w:val="000000"/>
          <w:sz w:val="24"/>
          <w:szCs w:val="24"/>
          <w:shd w:val="clear" w:color="auto" w:fill="FFFFFF"/>
        </w:rPr>
        <w:t>u até mesmo o aparecimento de</w:t>
      </w:r>
      <w:r w:rsidRPr="006B1FAF">
        <w:rPr>
          <w:rFonts w:ascii="Times New Roman" w:hAnsi="Times New Roman"/>
          <w:color w:val="000000"/>
          <w:sz w:val="24"/>
          <w:szCs w:val="24"/>
          <w:shd w:val="clear" w:color="auto" w:fill="FFFFFF"/>
        </w:rPr>
        <w:t xml:space="preserve"> </w:t>
      </w:r>
      <w:r w:rsidR="0067161B" w:rsidRPr="006B1FAF">
        <w:rPr>
          <w:rFonts w:ascii="Times New Roman" w:hAnsi="Times New Roman"/>
          <w:color w:val="000000"/>
          <w:sz w:val="24"/>
          <w:szCs w:val="24"/>
          <w:shd w:val="clear" w:color="auto" w:fill="FFFFFF"/>
        </w:rPr>
        <w:t>efeito</w:t>
      </w:r>
      <w:r w:rsidR="0067161B">
        <w:rPr>
          <w:rFonts w:ascii="Times New Roman" w:hAnsi="Times New Roman"/>
          <w:color w:val="000000"/>
          <w:sz w:val="24"/>
          <w:szCs w:val="24"/>
          <w:shd w:val="clear" w:color="auto" w:fill="FFFFFF"/>
        </w:rPr>
        <w:t>s</w:t>
      </w:r>
      <w:r w:rsidR="0067161B" w:rsidRPr="006B1FAF">
        <w:rPr>
          <w:rFonts w:ascii="Times New Roman" w:hAnsi="Times New Roman"/>
          <w:color w:val="000000"/>
          <w:sz w:val="24"/>
          <w:szCs w:val="24"/>
          <w:shd w:val="clear" w:color="auto" w:fill="FFFFFF"/>
        </w:rPr>
        <w:t> adversos</w:t>
      </w:r>
      <w:r w:rsidRPr="006B1FAF">
        <w:rPr>
          <w:rFonts w:ascii="Times New Roman" w:hAnsi="Times New Roman"/>
          <w:color w:val="000000"/>
          <w:sz w:val="24"/>
          <w:szCs w:val="24"/>
          <w:shd w:val="clear" w:color="auto" w:fill="FFFFFF"/>
        </w:rPr>
        <w:t xml:space="preserve">, </w:t>
      </w:r>
      <w:r w:rsidRPr="006B1FAF">
        <w:rPr>
          <w:rFonts w:ascii="Times New Roman" w:hAnsi="Times New Roman"/>
          <w:color w:val="000000"/>
          <w:sz w:val="24"/>
          <w:szCs w:val="24"/>
        </w:rPr>
        <w:t>acarretando consequências sérias ou até</w:t>
      </w:r>
      <w:r>
        <w:rPr>
          <w:rFonts w:ascii="Times New Roman" w:hAnsi="Times New Roman"/>
          <w:color w:val="000000"/>
          <w:sz w:val="24"/>
          <w:szCs w:val="24"/>
        </w:rPr>
        <w:t xml:space="preserve"> mesmo trágicas e irreversíveis.</w:t>
      </w:r>
    </w:p>
    <w:p w:rsidR="00DF3DA7" w:rsidRDefault="00264BB4" w:rsidP="007112D1">
      <w:pPr>
        <w:spacing w:after="0"/>
        <w:ind w:firstLine="371"/>
        <w:jc w:val="both"/>
        <w:rPr>
          <w:rFonts w:ascii="Times New Roman" w:hAnsi="Times New Roman"/>
          <w:sz w:val="24"/>
          <w:szCs w:val="24"/>
        </w:rPr>
      </w:pPr>
      <w:r w:rsidRPr="006B1FAF">
        <w:rPr>
          <w:rFonts w:ascii="Times New Roman" w:hAnsi="Times New Roman"/>
          <w:sz w:val="24"/>
          <w:szCs w:val="24"/>
        </w:rPr>
        <w:t xml:space="preserve">Cabe salientar que a elevação do interesse no controle dos centros </w:t>
      </w:r>
      <w:proofErr w:type="spellStart"/>
      <w:r w:rsidRPr="006B1FAF">
        <w:rPr>
          <w:rFonts w:ascii="Times New Roman" w:hAnsi="Times New Roman"/>
          <w:sz w:val="24"/>
          <w:szCs w:val="24"/>
        </w:rPr>
        <w:t>estereoquímicos</w:t>
      </w:r>
      <w:proofErr w:type="spellEnd"/>
      <w:r w:rsidRPr="006B1FAF">
        <w:rPr>
          <w:rFonts w:ascii="Times New Roman" w:hAnsi="Times New Roman"/>
          <w:sz w:val="24"/>
          <w:szCs w:val="24"/>
        </w:rPr>
        <w:t xml:space="preserve"> de um fármaco ocorreu após a década de 60</w:t>
      </w:r>
      <w:r>
        <w:rPr>
          <w:rFonts w:ascii="Times New Roman" w:hAnsi="Times New Roman"/>
          <w:sz w:val="24"/>
          <w:szCs w:val="24"/>
        </w:rPr>
        <w:t>,</w:t>
      </w:r>
      <w:r w:rsidRPr="006B1FAF">
        <w:rPr>
          <w:rFonts w:ascii="Times New Roman" w:hAnsi="Times New Roman"/>
          <w:sz w:val="24"/>
          <w:szCs w:val="24"/>
        </w:rPr>
        <w:t xml:space="preserve"> devido aos terríveis efeitos teratogênicos causados em milhares de crianças cujas mães fizeram uso da Talidomida</w:t>
      </w:r>
      <w:r w:rsidR="005D0427">
        <w:rPr>
          <w:rFonts w:ascii="Times New Roman" w:hAnsi="Times New Roman"/>
          <w:sz w:val="24"/>
          <w:szCs w:val="24"/>
        </w:rPr>
        <w:t xml:space="preserve"> (Figura 1)</w:t>
      </w:r>
      <w:r w:rsidRPr="006B1FAF">
        <w:rPr>
          <w:rFonts w:ascii="Times New Roman" w:hAnsi="Times New Roman"/>
          <w:sz w:val="24"/>
          <w:szCs w:val="24"/>
        </w:rPr>
        <w:t xml:space="preserve"> durante a gravidez. Esse medicamento era indicado para aliviar os sintomas de náuseas e como sedativo leve, principa</w:t>
      </w:r>
      <w:r>
        <w:rPr>
          <w:rFonts w:ascii="Times New Roman" w:hAnsi="Times New Roman"/>
          <w:sz w:val="24"/>
          <w:szCs w:val="24"/>
        </w:rPr>
        <w:t>lmente, no início da gravidez. N</w:t>
      </w:r>
      <w:r w:rsidRPr="006B1FAF">
        <w:rPr>
          <w:rFonts w:ascii="Times New Roman" w:hAnsi="Times New Roman"/>
          <w:sz w:val="24"/>
          <w:szCs w:val="24"/>
        </w:rPr>
        <w:t xml:space="preserve">o entanto, descobriu-se que o </w:t>
      </w:r>
      <w:proofErr w:type="spellStart"/>
      <w:r w:rsidRPr="006B1FAF">
        <w:rPr>
          <w:rFonts w:ascii="Times New Roman" w:hAnsi="Times New Roman"/>
          <w:sz w:val="24"/>
          <w:szCs w:val="24"/>
        </w:rPr>
        <w:t>enantiômero</w:t>
      </w:r>
      <w:proofErr w:type="spellEnd"/>
      <w:r w:rsidRPr="006B1FAF">
        <w:rPr>
          <w:rFonts w:ascii="Times New Roman" w:hAnsi="Times New Roman"/>
          <w:sz w:val="24"/>
          <w:szCs w:val="24"/>
        </w:rPr>
        <w:t xml:space="preserve"> </w:t>
      </w:r>
      <w:r w:rsidRPr="006B1FAF">
        <w:rPr>
          <w:rFonts w:ascii="Times New Roman" w:hAnsi="Times New Roman"/>
          <w:i/>
          <w:sz w:val="24"/>
          <w:szCs w:val="24"/>
        </w:rPr>
        <w:t>R</w:t>
      </w:r>
      <w:r w:rsidRPr="006B1FAF">
        <w:rPr>
          <w:rFonts w:ascii="Times New Roman" w:hAnsi="Times New Roman"/>
          <w:sz w:val="24"/>
          <w:szCs w:val="24"/>
        </w:rPr>
        <w:t xml:space="preserve"> era o responsável pela atividade terapêutica desejada, enquanto o </w:t>
      </w:r>
      <w:proofErr w:type="spellStart"/>
      <w:r w:rsidRPr="006B1FAF">
        <w:rPr>
          <w:rFonts w:ascii="Times New Roman" w:hAnsi="Times New Roman"/>
          <w:sz w:val="24"/>
          <w:szCs w:val="24"/>
        </w:rPr>
        <w:t>enantiômero</w:t>
      </w:r>
      <w:proofErr w:type="spellEnd"/>
      <w:r w:rsidRPr="006B1FAF">
        <w:rPr>
          <w:rFonts w:ascii="Times New Roman" w:hAnsi="Times New Roman"/>
          <w:sz w:val="24"/>
          <w:szCs w:val="24"/>
        </w:rPr>
        <w:t xml:space="preserve"> </w:t>
      </w:r>
      <w:r w:rsidRPr="006B1FAF">
        <w:rPr>
          <w:rFonts w:ascii="Times New Roman" w:hAnsi="Times New Roman"/>
          <w:i/>
          <w:sz w:val="24"/>
          <w:szCs w:val="24"/>
        </w:rPr>
        <w:t>S</w:t>
      </w:r>
      <w:r w:rsidRPr="006B1FAF">
        <w:rPr>
          <w:rFonts w:ascii="Times New Roman" w:hAnsi="Times New Roman"/>
          <w:sz w:val="24"/>
          <w:szCs w:val="24"/>
        </w:rPr>
        <w:t xml:space="preserve"> causava má formação do feto. Dessa forma, acreditava-se que a utilização do </w:t>
      </w:r>
      <w:r w:rsidRPr="006B1FAF">
        <w:rPr>
          <w:rFonts w:ascii="Times New Roman" w:hAnsi="Times New Roman"/>
          <w:i/>
          <w:sz w:val="24"/>
          <w:szCs w:val="24"/>
        </w:rPr>
        <w:t>R-</w:t>
      </w:r>
      <w:r w:rsidRPr="006B1FAF">
        <w:rPr>
          <w:rFonts w:ascii="Times New Roman" w:hAnsi="Times New Roman"/>
          <w:sz w:val="24"/>
          <w:szCs w:val="24"/>
        </w:rPr>
        <w:t>(</w:t>
      </w:r>
      <w:r w:rsidRPr="006B1FAF">
        <w:rPr>
          <w:rFonts w:ascii="Times New Roman" w:hAnsi="Times New Roman"/>
          <w:i/>
          <w:sz w:val="24"/>
          <w:szCs w:val="24"/>
        </w:rPr>
        <w:t>+</w:t>
      </w:r>
      <w:r w:rsidRPr="006B1FAF">
        <w:rPr>
          <w:rFonts w:ascii="Times New Roman" w:hAnsi="Times New Roman"/>
          <w:sz w:val="24"/>
          <w:szCs w:val="24"/>
        </w:rPr>
        <w:t>)-</w:t>
      </w:r>
      <w:proofErr w:type="spellStart"/>
      <w:r w:rsidRPr="006B1FAF">
        <w:rPr>
          <w:rFonts w:ascii="Times New Roman" w:hAnsi="Times New Roman"/>
          <w:sz w:val="24"/>
          <w:szCs w:val="24"/>
        </w:rPr>
        <w:t>enantiômero</w:t>
      </w:r>
      <w:proofErr w:type="spellEnd"/>
      <w:r w:rsidRPr="006B1FAF">
        <w:rPr>
          <w:rFonts w:ascii="Times New Roman" w:hAnsi="Times New Roman"/>
          <w:sz w:val="24"/>
          <w:szCs w:val="24"/>
        </w:rPr>
        <w:t xml:space="preserve"> seria a indicação terapêutica</w:t>
      </w:r>
      <w:r w:rsidRPr="006B1FAF">
        <w:rPr>
          <w:rFonts w:ascii="Times New Roman" w:hAnsi="Times New Roman"/>
          <w:i/>
          <w:sz w:val="24"/>
          <w:szCs w:val="24"/>
        </w:rPr>
        <w:t xml:space="preserve"> </w:t>
      </w:r>
      <w:r w:rsidRPr="006B1FAF">
        <w:rPr>
          <w:rFonts w:ascii="Times New Roman" w:hAnsi="Times New Roman"/>
          <w:sz w:val="24"/>
          <w:szCs w:val="24"/>
        </w:rPr>
        <w:t xml:space="preserve">adequada e que não causaria efeitos </w:t>
      </w:r>
      <w:proofErr w:type="spellStart"/>
      <w:r w:rsidRPr="006B1FAF">
        <w:rPr>
          <w:rFonts w:ascii="Times New Roman" w:hAnsi="Times New Roman"/>
          <w:sz w:val="24"/>
          <w:szCs w:val="24"/>
        </w:rPr>
        <w:t>colaterias</w:t>
      </w:r>
      <w:proofErr w:type="spellEnd"/>
      <w:r w:rsidRPr="006B1FAF">
        <w:rPr>
          <w:rFonts w:ascii="Times New Roman" w:hAnsi="Times New Roman"/>
          <w:sz w:val="24"/>
          <w:szCs w:val="24"/>
        </w:rPr>
        <w:t xml:space="preserve">. Entretanto, as condições fisiológicas </w:t>
      </w:r>
      <w:r w:rsidRPr="006B1FAF">
        <w:rPr>
          <w:rFonts w:ascii="Times New Roman" w:hAnsi="Times New Roman"/>
          <w:sz w:val="24"/>
          <w:szCs w:val="24"/>
        </w:rPr>
        <w:lastRenderedPageBreak/>
        <w:t xml:space="preserve">do organismo provocaram inversão da </w:t>
      </w:r>
      <w:proofErr w:type="spellStart"/>
      <w:r w:rsidRPr="006B1FAF">
        <w:rPr>
          <w:rFonts w:ascii="Times New Roman" w:hAnsi="Times New Roman"/>
          <w:sz w:val="24"/>
          <w:szCs w:val="24"/>
        </w:rPr>
        <w:t>quiralidade</w:t>
      </w:r>
      <w:proofErr w:type="spellEnd"/>
      <w:r w:rsidRPr="006B1FAF">
        <w:rPr>
          <w:rFonts w:ascii="Times New Roman" w:hAnsi="Times New Roman"/>
          <w:sz w:val="24"/>
          <w:szCs w:val="24"/>
        </w:rPr>
        <w:t xml:space="preserve"> entre os </w:t>
      </w:r>
      <w:proofErr w:type="spellStart"/>
      <w:r w:rsidRPr="006B1FAF">
        <w:rPr>
          <w:rFonts w:ascii="Times New Roman" w:hAnsi="Times New Roman"/>
          <w:sz w:val="24"/>
          <w:szCs w:val="24"/>
        </w:rPr>
        <w:t>enantiômeros</w:t>
      </w:r>
      <w:proofErr w:type="spellEnd"/>
      <w:r w:rsidRPr="006B1FAF">
        <w:rPr>
          <w:rFonts w:ascii="Times New Roman" w:hAnsi="Times New Roman"/>
          <w:sz w:val="24"/>
          <w:szCs w:val="24"/>
        </w:rPr>
        <w:t xml:space="preserve"> </w:t>
      </w:r>
      <w:r w:rsidRPr="006B1FAF">
        <w:rPr>
          <w:rFonts w:ascii="Times New Roman" w:hAnsi="Times New Roman"/>
          <w:i/>
          <w:sz w:val="24"/>
          <w:szCs w:val="24"/>
        </w:rPr>
        <w:t xml:space="preserve">R </w:t>
      </w:r>
      <w:r w:rsidRPr="006B1FAF">
        <w:rPr>
          <w:rFonts w:ascii="Times New Roman" w:hAnsi="Times New Roman"/>
          <w:sz w:val="24"/>
          <w:szCs w:val="24"/>
        </w:rPr>
        <w:t>e</w:t>
      </w:r>
      <w:r w:rsidRPr="006B1FAF">
        <w:rPr>
          <w:rFonts w:ascii="Times New Roman" w:hAnsi="Times New Roman"/>
          <w:i/>
          <w:sz w:val="24"/>
          <w:szCs w:val="24"/>
        </w:rPr>
        <w:t xml:space="preserve"> S </w:t>
      </w:r>
      <w:r w:rsidRPr="006B1FAF">
        <w:rPr>
          <w:rFonts w:ascii="Times New Roman" w:hAnsi="Times New Roman"/>
          <w:sz w:val="24"/>
          <w:szCs w:val="24"/>
        </w:rPr>
        <w:t>após a sua administração. Após diversos casos semelhantes, houve a suspensão de seu uso para esse tipo de tratamento</w:t>
      </w:r>
      <w:r w:rsidR="0067161B">
        <w:rPr>
          <w:rFonts w:ascii="Times New Roman" w:hAnsi="Times New Roman"/>
          <w:sz w:val="24"/>
          <w:szCs w:val="24"/>
        </w:rPr>
        <w:t xml:space="preserve"> </w:t>
      </w:r>
      <w:r w:rsidR="004616DF">
        <w:rPr>
          <w:rFonts w:ascii="Times New Roman" w:hAnsi="Times New Roman"/>
          <w:sz w:val="24"/>
          <w:szCs w:val="24"/>
        </w:rPr>
        <w:fldChar w:fldCharType="begin" w:fldLock="1"/>
      </w:r>
      <w:r w:rsidR="007112D1">
        <w:rPr>
          <w:rFonts w:ascii="Times New Roman" w:hAnsi="Times New Roman"/>
          <w:sz w:val="24"/>
          <w:szCs w:val="24"/>
        </w:rPr>
        <w:instrText>ADDIN CSL_CITATION { "citationItems" : [ { "id" : "ITEM-1", "itemData" : { "ISBN" : "0987624229", "ISSN" : "09744304", "abstract" : "The belief that pure single enantiomers would provide safer and more effective alternatives to racemates, has resulted in a greater stress on the evaluation and development of single isomers as drug products. Almost half of the drugs in use today are chiral. It is well established that the pharmacological activity is mostly restricted to one of the enantiomers and the individual enantiomers of racemic drugs frequently differ in their biological effects. In many cases, the inactive enantiomer shows unwanted side effects or even toxic effects. For pharmacological studies of such drugs, there is, therefore a need for an effective means of separating and quantifying the enantiomers in biological samples. The chiral switch process (racemate to single enantiomer ) has resulted in a number of agents being re-marketed as single enantiomer products.", "author" : [ { "dropping-particle" : "", "family" : "SEKHON", "given" : "BHUPINDER SINGH", "non-dropping-particle" : "", "parse-names" : false, "suffix" : "" } ], "container-title" : "International Journal of PharmTech Research", "id" : "ITEM-1", "issued" : { "date-parts" : [ [ "2010" ] ] }, "title" : "Enantioseparation of chiral drugs - An overview", "type" : "article-journal" }, "uris" : [ "http://www.mendeley.com/documents/?uuid=294bdb55-2da4-397c-b803-e85afd91b673" ] } ], "mendeley" : { "formattedCitation" : "(SEKHON, 2010)", "plainTextFormattedCitation" : "(SEKHON, 2010)", "previouslyFormattedCitation" : "(SEKHON, 2010)" }, "properties" : {  }, "schema" : "https://github.com/citation-style-language/schema/raw/master/csl-citation.json" }</w:instrText>
      </w:r>
      <w:r w:rsidR="004616DF">
        <w:rPr>
          <w:rFonts w:ascii="Times New Roman" w:hAnsi="Times New Roman"/>
          <w:sz w:val="24"/>
          <w:szCs w:val="24"/>
        </w:rPr>
        <w:fldChar w:fldCharType="separate"/>
      </w:r>
      <w:r w:rsidR="007112D1" w:rsidRPr="007112D1">
        <w:rPr>
          <w:rFonts w:ascii="Times New Roman" w:hAnsi="Times New Roman"/>
          <w:noProof/>
          <w:sz w:val="24"/>
          <w:szCs w:val="24"/>
        </w:rPr>
        <w:t>(SEKHON, 2010)</w:t>
      </w:r>
      <w:r w:rsidR="004616DF">
        <w:rPr>
          <w:rFonts w:ascii="Times New Roman" w:hAnsi="Times New Roman"/>
          <w:sz w:val="24"/>
          <w:szCs w:val="24"/>
        </w:rPr>
        <w:fldChar w:fldCharType="end"/>
      </w:r>
      <w:r w:rsidR="0067161B">
        <w:rPr>
          <w:rFonts w:ascii="Times New Roman" w:hAnsi="Times New Roman"/>
          <w:sz w:val="24"/>
          <w:szCs w:val="24"/>
        </w:rPr>
        <w:t>.</w:t>
      </w:r>
    </w:p>
    <w:p w:rsidR="00DF3DA7" w:rsidRDefault="00895B8E" w:rsidP="0022234B">
      <w:pPr>
        <w:spacing w:after="0"/>
        <w:ind w:firstLine="371"/>
        <w:jc w:val="center"/>
        <w:rPr>
          <w:rFonts w:ascii="Times New Roman" w:hAnsi="Times New Roman"/>
          <w:sz w:val="24"/>
          <w:szCs w:val="24"/>
        </w:rPr>
      </w:pPr>
      <w:r>
        <w:rPr>
          <w:noProof/>
          <w:lang w:eastAsia="pt-BR"/>
        </w:rPr>
        <w:drawing>
          <wp:inline distT="0" distB="0" distL="0" distR="0" wp14:anchorId="63AF1911" wp14:editId="4F619C6F">
            <wp:extent cx="3019425" cy="1381125"/>
            <wp:effectExtent l="19050" t="0" r="9525" b="0"/>
            <wp:docPr id="2" name="Imagem 2" descr="Resultado de imagem para talido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talidomida"/>
                    <pic:cNvPicPr>
                      <a:picLocks noChangeAspect="1" noChangeArrowheads="1"/>
                    </pic:cNvPicPr>
                  </pic:nvPicPr>
                  <pic:blipFill>
                    <a:blip r:embed="rId11" cstate="print"/>
                    <a:srcRect/>
                    <a:stretch>
                      <a:fillRect/>
                    </a:stretch>
                  </pic:blipFill>
                  <pic:spPr bwMode="auto">
                    <a:xfrm>
                      <a:off x="0" y="0"/>
                      <a:ext cx="3019425" cy="1381125"/>
                    </a:xfrm>
                    <a:prstGeom prst="rect">
                      <a:avLst/>
                    </a:prstGeom>
                    <a:noFill/>
                    <a:ln w="9525">
                      <a:noFill/>
                      <a:miter lim="800000"/>
                      <a:headEnd/>
                      <a:tailEnd/>
                    </a:ln>
                  </pic:spPr>
                </pic:pic>
              </a:graphicData>
            </a:graphic>
          </wp:inline>
        </w:drawing>
      </w:r>
    </w:p>
    <w:p w:rsidR="00DF3DA7" w:rsidRDefault="00DF3DA7" w:rsidP="0022234B">
      <w:pPr>
        <w:pStyle w:val="Legenda"/>
        <w:spacing w:after="0"/>
        <w:jc w:val="center"/>
        <w:rPr>
          <w:rFonts w:ascii="Times New Roman" w:hAnsi="Times New Roman"/>
          <w:b w:val="0"/>
          <w:sz w:val="24"/>
          <w:szCs w:val="24"/>
        </w:rPr>
      </w:pPr>
      <w:r w:rsidRPr="00DF3DA7">
        <w:rPr>
          <w:rFonts w:ascii="Times New Roman" w:hAnsi="Times New Roman"/>
          <w:sz w:val="24"/>
          <w:szCs w:val="24"/>
        </w:rPr>
        <w:t xml:space="preserve">Figura </w:t>
      </w:r>
      <w:r w:rsidR="004616DF" w:rsidRPr="00DF3DA7">
        <w:rPr>
          <w:rFonts w:ascii="Times New Roman" w:hAnsi="Times New Roman"/>
          <w:sz w:val="24"/>
          <w:szCs w:val="24"/>
        </w:rPr>
        <w:fldChar w:fldCharType="begin"/>
      </w:r>
      <w:r w:rsidRPr="00DF3DA7">
        <w:rPr>
          <w:rFonts w:ascii="Times New Roman" w:hAnsi="Times New Roman"/>
          <w:sz w:val="24"/>
          <w:szCs w:val="24"/>
        </w:rPr>
        <w:instrText xml:space="preserve"> SEQ Figura \* ARABIC </w:instrText>
      </w:r>
      <w:r w:rsidR="004616DF" w:rsidRPr="00DF3DA7">
        <w:rPr>
          <w:rFonts w:ascii="Times New Roman" w:hAnsi="Times New Roman"/>
          <w:sz w:val="24"/>
          <w:szCs w:val="24"/>
        </w:rPr>
        <w:fldChar w:fldCharType="separate"/>
      </w:r>
      <w:r w:rsidR="008C049C">
        <w:rPr>
          <w:rFonts w:ascii="Times New Roman" w:hAnsi="Times New Roman"/>
          <w:noProof/>
          <w:sz w:val="24"/>
          <w:szCs w:val="24"/>
        </w:rPr>
        <w:t>1</w:t>
      </w:r>
      <w:r w:rsidR="004616DF" w:rsidRPr="00DF3DA7">
        <w:rPr>
          <w:rFonts w:ascii="Times New Roman" w:hAnsi="Times New Roman"/>
          <w:sz w:val="24"/>
          <w:szCs w:val="24"/>
        </w:rPr>
        <w:fldChar w:fldCharType="end"/>
      </w:r>
      <w:r w:rsidRPr="00DF3DA7">
        <w:rPr>
          <w:rFonts w:ascii="Times New Roman" w:hAnsi="Times New Roman"/>
          <w:sz w:val="24"/>
          <w:szCs w:val="24"/>
        </w:rPr>
        <w:t xml:space="preserve">. </w:t>
      </w:r>
      <w:r w:rsidRPr="00DF3DA7">
        <w:rPr>
          <w:rFonts w:ascii="Times New Roman" w:hAnsi="Times New Roman"/>
          <w:b w:val="0"/>
          <w:sz w:val="24"/>
          <w:szCs w:val="24"/>
        </w:rPr>
        <w:t>Isômeros da talidomida e seus efeitos farmacológicos</w:t>
      </w:r>
    </w:p>
    <w:p w:rsidR="00BD5952" w:rsidRDefault="00BD5952" w:rsidP="0022234B">
      <w:pPr>
        <w:spacing w:after="0"/>
      </w:pPr>
    </w:p>
    <w:p w:rsidR="00CF4A9F" w:rsidRPr="00CF4A9F" w:rsidRDefault="00CF4A9F" w:rsidP="0022234B">
      <w:pPr>
        <w:spacing w:after="0"/>
        <w:ind w:firstLine="371"/>
        <w:jc w:val="both"/>
        <w:rPr>
          <w:rFonts w:ascii="Times New Roman" w:hAnsi="Times New Roman"/>
          <w:sz w:val="24"/>
          <w:szCs w:val="24"/>
        </w:rPr>
      </w:pPr>
      <w:r>
        <w:rPr>
          <w:rFonts w:ascii="Times New Roman" w:hAnsi="Times New Roman"/>
          <w:sz w:val="24"/>
          <w:szCs w:val="24"/>
        </w:rPr>
        <w:t>Neste contexto, a</w:t>
      </w:r>
      <w:r w:rsidRPr="006B1FAF">
        <w:rPr>
          <w:rFonts w:ascii="Times New Roman" w:hAnsi="Times New Roman"/>
          <w:sz w:val="24"/>
          <w:szCs w:val="24"/>
        </w:rPr>
        <w:t xml:space="preserve">ntigamente, os fármacos </w:t>
      </w:r>
      <w:proofErr w:type="spellStart"/>
      <w:r w:rsidRPr="006B1FAF">
        <w:rPr>
          <w:rFonts w:ascii="Times New Roman" w:hAnsi="Times New Roman"/>
          <w:sz w:val="24"/>
          <w:szCs w:val="24"/>
        </w:rPr>
        <w:t>quirais</w:t>
      </w:r>
      <w:proofErr w:type="spellEnd"/>
      <w:r w:rsidRPr="006B1FAF">
        <w:rPr>
          <w:rFonts w:ascii="Times New Roman" w:hAnsi="Times New Roman"/>
          <w:sz w:val="24"/>
          <w:szCs w:val="24"/>
        </w:rPr>
        <w:t xml:space="preserve"> eram produzidos principalmente como </w:t>
      </w:r>
      <w:proofErr w:type="spellStart"/>
      <w:r w:rsidRPr="006B1FAF">
        <w:rPr>
          <w:rFonts w:ascii="Times New Roman" w:hAnsi="Times New Roman"/>
          <w:sz w:val="24"/>
          <w:szCs w:val="24"/>
        </w:rPr>
        <w:t>racematos</w:t>
      </w:r>
      <w:proofErr w:type="spellEnd"/>
      <w:r w:rsidRPr="006B1FAF">
        <w:rPr>
          <w:rFonts w:ascii="Times New Roman" w:hAnsi="Times New Roman"/>
          <w:sz w:val="24"/>
          <w:szCs w:val="24"/>
        </w:rPr>
        <w:t xml:space="preserve">, </w:t>
      </w:r>
      <w:r>
        <w:rPr>
          <w:rFonts w:ascii="Times New Roman" w:hAnsi="Times New Roman"/>
          <w:sz w:val="24"/>
          <w:szCs w:val="24"/>
        </w:rPr>
        <w:t>todavia</w:t>
      </w:r>
      <w:r w:rsidRPr="006B1FAF">
        <w:rPr>
          <w:rFonts w:ascii="Times New Roman" w:hAnsi="Times New Roman"/>
          <w:sz w:val="24"/>
          <w:szCs w:val="24"/>
        </w:rPr>
        <w:t xml:space="preserve">, com a introdução de novas tecnologias que permitiram a separação dos isômeros ópticos, houve uma elevação do interesse pela sua produção. A administração de fármacos </w:t>
      </w:r>
      <w:proofErr w:type="spellStart"/>
      <w:r w:rsidRPr="006B1FAF">
        <w:rPr>
          <w:rFonts w:ascii="Times New Roman" w:hAnsi="Times New Roman"/>
          <w:sz w:val="24"/>
          <w:szCs w:val="24"/>
        </w:rPr>
        <w:t>enantiomericamente</w:t>
      </w:r>
      <w:proofErr w:type="spellEnd"/>
      <w:r w:rsidRPr="006B1FAF">
        <w:rPr>
          <w:rFonts w:ascii="Times New Roman" w:hAnsi="Times New Roman"/>
          <w:sz w:val="24"/>
          <w:szCs w:val="24"/>
        </w:rPr>
        <w:t xml:space="preserve"> puros, geralmente, </w:t>
      </w:r>
      <w:r>
        <w:rPr>
          <w:rFonts w:ascii="Times New Roman" w:hAnsi="Times New Roman"/>
          <w:sz w:val="24"/>
          <w:szCs w:val="24"/>
        </w:rPr>
        <w:t>possui</w:t>
      </w:r>
      <w:r w:rsidRPr="006B1FAF">
        <w:rPr>
          <w:rFonts w:ascii="Times New Roman" w:hAnsi="Times New Roman"/>
          <w:sz w:val="24"/>
          <w:szCs w:val="24"/>
        </w:rPr>
        <w:t xml:space="preserve"> diversas vantagens, tais como diminui</w:t>
      </w:r>
      <w:r>
        <w:rPr>
          <w:rFonts w:ascii="Times New Roman" w:hAnsi="Times New Roman"/>
          <w:sz w:val="24"/>
          <w:szCs w:val="24"/>
        </w:rPr>
        <w:t xml:space="preserve">r a toxicidade e </w:t>
      </w:r>
      <w:r w:rsidRPr="006B1FAF">
        <w:rPr>
          <w:rFonts w:ascii="Times New Roman" w:hAnsi="Times New Roman"/>
          <w:sz w:val="24"/>
          <w:szCs w:val="24"/>
        </w:rPr>
        <w:t>a concentração plasmática necessária para o efeito terapêutico e</w:t>
      </w:r>
      <w:r>
        <w:rPr>
          <w:rFonts w:ascii="Times New Roman" w:hAnsi="Times New Roman"/>
          <w:sz w:val="24"/>
          <w:szCs w:val="24"/>
        </w:rPr>
        <w:t>,</w:t>
      </w:r>
      <w:r w:rsidRPr="006B1FAF">
        <w:rPr>
          <w:rFonts w:ascii="Times New Roman" w:hAnsi="Times New Roman"/>
          <w:sz w:val="24"/>
          <w:szCs w:val="24"/>
        </w:rPr>
        <w:t xml:space="preserve"> consequentemente</w:t>
      </w:r>
      <w:r>
        <w:rPr>
          <w:rFonts w:ascii="Times New Roman" w:hAnsi="Times New Roman"/>
          <w:sz w:val="24"/>
          <w:szCs w:val="24"/>
        </w:rPr>
        <w:t>,</w:t>
      </w:r>
      <w:r w:rsidRPr="006B1FAF">
        <w:rPr>
          <w:rFonts w:ascii="Times New Roman" w:hAnsi="Times New Roman"/>
          <w:sz w:val="24"/>
          <w:szCs w:val="24"/>
        </w:rPr>
        <w:t xml:space="preserve"> a dosagem </w:t>
      </w:r>
      <w:proofErr w:type="gramStart"/>
      <w:r w:rsidRPr="006B1FAF">
        <w:rPr>
          <w:rFonts w:ascii="Times New Roman" w:hAnsi="Times New Roman"/>
          <w:sz w:val="24"/>
          <w:szCs w:val="24"/>
        </w:rPr>
        <w:t>necessária</w:t>
      </w:r>
      <w:proofErr w:type="gramEnd"/>
      <w:r w:rsidRPr="006B1FAF">
        <w:rPr>
          <w:rFonts w:ascii="Times New Roman" w:hAnsi="Times New Roman"/>
          <w:sz w:val="24"/>
          <w:szCs w:val="24"/>
        </w:rPr>
        <w:t xml:space="preserve"> </w:t>
      </w:r>
      <w:r w:rsidR="004616DF">
        <w:rPr>
          <w:rFonts w:ascii="Times New Roman" w:hAnsi="Times New Roman"/>
          <w:sz w:val="24"/>
          <w:szCs w:val="24"/>
        </w:rPr>
        <w:fldChar w:fldCharType="begin" w:fldLock="1"/>
      </w:r>
      <w:r w:rsidR="009112EB">
        <w:rPr>
          <w:rFonts w:ascii="Times New Roman" w:hAnsi="Times New Roman"/>
          <w:sz w:val="24"/>
          <w:szCs w:val="24"/>
        </w:rPr>
        <w:instrText>ADDIN CSL_CITATION { "citationItems" : [ { "id" : "ITEM-1", "itemData" : { "DOI" : "10.1039/c000408c", "ISBN" : "0306-0012", "ISSN" : "0306-0012", "PMID" : "20852776", "abstract" : "Pharmacologically active compounds including both legally used pharmaceuticals and illicit drugs are potent environmental contaminants. Extensive research has been undertaken over the recent years to understand their environmental fate and toxicity. The one very important phenomenon that has been overlooked by environmental researchers studying the fate of pharmacologically active compounds in the environment is their chirality. Chiral drugs can exist in the form of enantiomers, which have similar physicochemical properties but differ in their biological properties such as distribution, metabolism and excretion, as these processes (due to stereospecific interactions of enantiomers with biological systems) usually favour one enantiomer over the other. Additionally, due to different pharmacological activity, enantiomers of chiral drugs can differ in toxicity. Furthermore, degradation of chiral drugs during wastewater treatment and in the environment can be stereoselective and can lead to chiral products of varied toxicity. The distribution of different enantiomers of the same chiral drug in the aquatic environment and biota can also be stereoselective. Biological processes can lead to stereoselective enrichment or depletion of the enantiomeric composition of chiral drugs. As a result the very same drug might reveal different activity and toxicity and this will depend on its origin and exposure to several factors governing its fate in the environment. In this critical review a discussion of the importance of chirality of pharmacologically active compounds in the environmental context is undertaken and suggestions for directions in further research are made. Several groups of chiral drugs of major environmental relevance are discussed and their pharmacological action and disposition in the body is also outlined as it is a key factor in developing a full understanding of their environmental occurrence, fate and toxicity. This review will be of interest to environmental scientists, especially those interested in issues associated with environmental contamination with pharmacologically active compounds and chiral pollutants. As the review will outline current state of knowledge on chiral drugs, it will be of value to anyone interested in the phenomenon of chirality, chiral drugs, their stereoselective disposition in the body and environmental fate (212 references).", "author" : [ { "dropping-particle" : "", "family" : "KASPRZYK-HORDERN", "given" : "Barbara", "non-dropping-particle" : "", "parse-names" : false, "suffix" : "" } ], "container-title" : "Chemical Society Reviews", "id" : "ITEM-1", "issued" : { "date-parts" : [ [ "2010" ] ] }, "title" : "Pharmacologically active compounds in the environment and their chirality", "type" : "article-journal" }, "uris" : [ "http://www.mendeley.com/documents/?uuid=a2dc2480-16b2-3795-ae64-32e306fe508d" ] } ], "mendeley" : { "formattedCitation" : "(KASPRZYK-HORDERN, 2010)", "plainTextFormattedCitation" : "(KASPRZYK-HORDERN, 2010)", "previouslyFormattedCitation" : "(KASPRZYK-HORDERN, 2010)" }, "properties" : {  }, "schema" : "https://github.com/citation-style-language/schema/raw/master/csl-citation.json" }</w:instrText>
      </w:r>
      <w:r w:rsidR="004616DF">
        <w:rPr>
          <w:rFonts w:ascii="Times New Roman" w:hAnsi="Times New Roman"/>
          <w:sz w:val="24"/>
          <w:szCs w:val="24"/>
        </w:rPr>
        <w:fldChar w:fldCharType="separate"/>
      </w:r>
      <w:r w:rsidR="009112EB" w:rsidRPr="009112EB">
        <w:rPr>
          <w:rFonts w:ascii="Times New Roman" w:hAnsi="Times New Roman"/>
          <w:noProof/>
          <w:sz w:val="24"/>
          <w:szCs w:val="24"/>
        </w:rPr>
        <w:t>(KASPRZYK-HORDERN, 2010)</w:t>
      </w:r>
      <w:r w:rsidR="004616DF">
        <w:rPr>
          <w:rFonts w:ascii="Times New Roman" w:hAnsi="Times New Roman"/>
          <w:sz w:val="24"/>
          <w:szCs w:val="24"/>
        </w:rPr>
        <w:fldChar w:fldCharType="end"/>
      </w:r>
      <w:r>
        <w:rPr>
          <w:rFonts w:ascii="Times New Roman" w:hAnsi="Times New Roman"/>
          <w:sz w:val="24"/>
          <w:szCs w:val="24"/>
        </w:rPr>
        <w:t>.</w:t>
      </w:r>
    </w:p>
    <w:p w:rsidR="00B8137F" w:rsidRDefault="00B8137F" w:rsidP="0022234B">
      <w:pPr>
        <w:spacing w:after="0"/>
        <w:ind w:firstLine="371"/>
        <w:jc w:val="both"/>
        <w:rPr>
          <w:rFonts w:ascii="Times New Roman" w:hAnsi="Times New Roman"/>
          <w:sz w:val="24"/>
          <w:szCs w:val="24"/>
        </w:rPr>
      </w:pPr>
      <w:r>
        <w:rPr>
          <w:rFonts w:ascii="Times New Roman" w:hAnsi="Times New Roman"/>
          <w:sz w:val="24"/>
          <w:szCs w:val="24"/>
        </w:rPr>
        <w:t xml:space="preserve">De acordo com </w:t>
      </w:r>
      <w:proofErr w:type="spellStart"/>
      <w:r w:rsidRPr="007112D1">
        <w:rPr>
          <w:rFonts w:ascii="Times New Roman" w:hAnsi="Times New Roman"/>
          <w:sz w:val="24"/>
          <w:szCs w:val="24"/>
        </w:rPr>
        <w:t>Calcaterra</w:t>
      </w:r>
      <w:proofErr w:type="spellEnd"/>
      <w:r w:rsidR="009112EB" w:rsidRPr="007112D1">
        <w:rPr>
          <w:rFonts w:ascii="Times New Roman" w:hAnsi="Times New Roman"/>
          <w:sz w:val="24"/>
          <w:szCs w:val="24"/>
        </w:rPr>
        <w:t xml:space="preserve"> </w:t>
      </w:r>
      <w:r w:rsidR="009112EB" w:rsidRPr="007112D1">
        <w:rPr>
          <w:rFonts w:ascii="Times New Roman" w:hAnsi="Times New Roman"/>
          <w:sz w:val="24"/>
          <w:szCs w:val="24"/>
        </w:rPr>
        <w:fldChar w:fldCharType="begin" w:fldLock="1"/>
      </w:r>
      <w:r w:rsidR="009112EB" w:rsidRPr="007112D1">
        <w:rPr>
          <w:rFonts w:ascii="Times New Roman" w:hAnsi="Times New Roman"/>
          <w:sz w:val="24"/>
          <w:szCs w:val="24"/>
        </w:rPr>
        <w:instrText>ADDIN CSL_CITATION { "citationItems" : [ { "id" : "ITEM-1", "itemData" : { "DOI" : "10.1016/j.jpba.2017.07.008", "ISSN" : "1873264X", "abstract" : "This review article is aimed at providing an overview of the current market of chiral drugs by exploring which is the nowadays tendency, for the pharmaceutical industry, either to exploit the chiral switching practice from already marketed racemates or to develop de novo enantiomerically pure compounds. A concise illustration of the main techniques developed to assess the absolute configuration (AC) and enantiomeric purity of chiral drugs has been given, where greater emphasis was placed on the contribution of enantioselective chromatography (HPLC, SFC and UHPC). Afterwards, we focused our study on the cohort of 45 new drugs that have been approved by the US Food and Drug Administration (FDA) in 2015. We extracted the chemical structure of the new drugs from the FDA approval chemistry reviews available on the database of the agency's Center for Drug Evaluation and Research (CDER), and we selected a subgroup (i.e., 44% of the cohort) of small-molecule active pharmaceutical ingredients (APIs) containing one or more chirality centers. On the basis of the FDA dossiers examined, it emerged that all the chiral drugs approved by the FDA in 2015 are enantiomerically pure compounds with a well-defined AC, with the exception of one, namely lesinurad, which has been licensed as the racemate of two enantiomeric atropoisomers, arising because of the hindered rotation around the single C\u2013N bond in the naphthalene ring. Finally, none of the previously developed racemates has been switched to the single-enantiomer version in 2015.", "author" : [ { "dropping-particle" : "", "family" : "CALCATERRA", "given" : "ANDREA", "non-dropping-particle" : "", "parse-names" : false, "suffix" : "" }, { "dropping-particle" : "", "family" : "D'ACQUARICA", "given" : "ILARIA", "non-dropping-particle" : "", "parse-names" : false, "suffix" : "" } ], "container-title" : "Journal of Pharmaceutical and Biomedical Analysis", "id" : "ITEM-1", "issued" : { "date-parts" : [ [ "2018" ] ] }, "title" : "The market of chiral drugs: Chiral switches versus de novo enantiomerically pure compounds", "type" : "article" }, "uris" : [ "http://www.mendeley.com/documents/?uuid=6f382cf1-029c-3db5-b40d-f1d0a6959747" ] } ], "mendeley" : { "formattedCitation" : "(CALCATERRA &amp; D\u2019ACQUARICA, 2018)", "plainTextFormattedCitation" : "(CALCATERRA &amp; D\u2019ACQUARICA, 2018)", "previouslyFormattedCitation" : "(CALCATERRA &amp; D\u2019ACQUARICA, 2018)" }, "properties" : {  }, "schema" : "https://github.com/citation-style-language/schema/raw/master/csl-citation.json" }</w:instrText>
      </w:r>
      <w:r w:rsidR="009112EB" w:rsidRPr="007112D1">
        <w:rPr>
          <w:rFonts w:ascii="Times New Roman" w:hAnsi="Times New Roman"/>
          <w:sz w:val="24"/>
          <w:szCs w:val="24"/>
        </w:rPr>
        <w:fldChar w:fldCharType="separate"/>
      </w:r>
      <w:r w:rsidR="009112EB" w:rsidRPr="007112D1">
        <w:rPr>
          <w:rFonts w:ascii="Times New Roman" w:hAnsi="Times New Roman"/>
          <w:noProof/>
          <w:sz w:val="24"/>
          <w:szCs w:val="24"/>
        </w:rPr>
        <w:t>(CALCATERRA &amp; D’ACQUARICA, 2018)</w:t>
      </w:r>
      <w:r w:rsidR="009112EB" w:rsidRPr="007112D1">
        <w:rPr>
          <w:rFonts w:ascii="Times New Roman" w:hAnsi="Times New Roman"/>
          <w:sz w:val="24"/>
          <w:szCs w:val="24"/>
        </w:rPr>
        <w:fldChar w:fldCharType="end"/>
      </w:r>
      <w:r>
        <w:rPr>
          <w:rFonts w:ascii="Times New Roman" w:hAnsi="Times New Roman"/>
          <w:sz w:val="24"/>
          <w:szCs w:val="24"/>
        </w:rPr>
        <w:t>, as t</w:t>
      </w:r>
      <w:r w:rsidRPr="009E2C4A">
        <w:rPr>
          <w:rFonts w:ascii="Times New Roman" w:hAnsi="Times New Roman"/>
          <w:sz w:val="24"/>
          <w:szCs w:val="24"/>
        </w:rPr>
        <w:t>écnicas que são validadas</w:t>
      </w:r>
      <w:r>
        <w:rPr>
          <w:rFonts w:ascii="Times New Roman" w:hAnsi="Times New Roman"/>
          <w:sz w:val="24"/>
          <w:szCs w:val="24"/>
        </w:rPr>
        <w:t xml:space="preserve"> e empregadas</w:t>
      </w:r>
      <w:r w:rsidRPr="009E2C4A">
        <w:rPr>
          <w:rFonts w:ascii="Times New Roman" w:hAnsi="Times New Roman"/>
          <w:sz w:val="24"/>
          <w:szCs w:val="24"/>
        </w:rPr>
        <w:t xml:space="preserve"> na academia e na indústria farmacêutica para a determinação da </w:t>
      </w:r>
      <w:r>
        <w:rPr>
          <w:rFonts w:ascii="Times New Roman" w:hAnsi="Times New Roman"/>
          <w:sz w:val="24"/>
          <w:szCs w:val="24"/>
        </w:rPr>
        <w:t xml:space="preserve">configuração absoluta para posterior para a preparação das formas </w:t>
      </w:r>
      <w:proofErr w:type="spellStart"/>
      <w:r>
        <w:rPr>
          <w:rFonts w:ascii="Times New Roman" w:hAnsi="Times New Roman"/>
          <w:sz w:val="24"/>
          <w:szCs w:val="24"/>
        </w:rPr>
        <w:t>enantiopuras</w:t>
      </w:r>
      <w:proofErr w:type="spellEnd"/>
      <w:r w:rsidRPr="009E2C4A">
        <w:rPr>
          <w:rFonts w:ascii="Times New Roman" w:hAnsi="Times New Roman"/>
          <w:sz w:val="24"/>
          <w:szCs w:val="24"/>
        </w:rPr>
        <w:t xml:space="preserve"> de moléculas </w:t>
      </w:r>
      <w:proofErr w:type="spellStart"/>
      <w:r w:rsidRPr="009E2C4A">
        <w:rPr>
          <w:rFonts w:ascii="Times New Roman" w:hAnsi="Times New Roman"/>
          <w:sz w:val="24"/>
          <w:szCs w:val="24"/>
        </w:rPr>
        <w:t>quirais</w:t>
      </w:r>
      <w:proofErr w:type="spellEnd"/>
      <w:r w:rsidRPr="009E2C4A">
        <w:rPr>
          <w:rFonts w:ascii="Times New Roman" w:hAnsi="Times New Roman"/>
          <w:sz w:val="24"/>
          <w:szCs w:val="24"/>
        </w:rPr>
        <w:t xml:space="preserve"> inclui a cristalografia de raios-X</w:t>
      </w:r>
      <w:r>
        <w:rPr>
          <w:rFonts w:ascii="Times New Roman" w:hAnsi="Times New Roman"/>
          <w:sz w:val="24"/>
          <w:szCs w:val="24"/>
        </w:rPr>
        <w:t xml:space="preserve">, </w:t>
      </w:r>
      <w:r w:rsidRPr="009E2C4A">
        <w:rPr>
          <w:rFonts w:ascii="Times New Roman" w:hAnsi="Times New Roman"/>
          <w:sz w:val="24"/>
          <w:szCs w:val="24"/>
        </w:rPr>
        <w:t>RMN</w:t>
      </w:r>
      <w:r>
        <w:rPr>
          <w:rFonts w:ascii="Times New Roman" w:hAnsi="Times New Roman"/>
          <w:sz w:val="24"/>
          <w:szCs w:val="24"/>
        </w:rPr>
        <w:t xml:space="preserve"> (Ressonância Magnética Nuclear), </w:t>
      </w:r>
      <w:r w:rsidRPr="009E2C4A">
        <w:rPr>
          <w:rFonts w:ascii="Times New Roman" w:hAnsi="Times New Roman"/>
          <w:sz w:val="24"/>
          <w:szCs w:val="24"/>
        </w:rPr>
        <w:t>o dicroísmo circular vibratório (VCD</w:t>
      </w:r>
      <w:r>
        <w:rPr>
          <w:rFonts w:ascii="Times New Roman" w:hAnsi="Times New Roman"/>
          <w:sz w:val="24"/>
          <w:szCs w:val="24"/>
        </w:rPr>
        <w:t>) e cromatografia</w:t>
      </w:r>
      <w:r w:rsidRPr="009E2C4A">
        <w:rPr>
          <w:rFonts w:ascii="Times New Roman" w:hAnsi="Times New Roman"/>
          <w:sz w:val="24"/>
          <w:szCs w:val="24"/>
        </w:rPr>
        <w:t xml:space="preserve"> </w:t>
      </w:r>
      <w:proofErr w:type="spellStart"/>
      <w:r>
        <w:rPr>
          <w:rFonts w:ascii="Times New Roman" w:hAnsi="Times New Roman"/>
          <w:sz w:val="24"/>
          <w:szCs w:val="24"/>
        </w:rPr>
        <w:t>enantiosseletiva</w:t>
      </w:r>
      <w:proofErr w:type="spellEnd"/>
      <w:r>
        <w:rPr>
          <w:rFonts w:ascii="Times New Roman" w:hAnsi="Times New Roman"/>
          <w:sz w:val="24"/>
          <w:szCs w:val="24"/>
        </w:rPr>
        <w:t>.</w:t>
      </w:r>
    </w:p>
    <w:p w:rsidR="00BD5952" w:rsidRDefault="00B8137F" w:rsidP="0022234B">
      <w:pPr>
        <w:spacing w:after="0"/>
        <w:ind w:firstLine="372"/>
        <w:jc w:val="both"/>
        <w:rPr>
          <w:rFonts w:ascii="Times New Roman" w:hAnsi="Times New Roman"/>
          <w:sz w:val="24"/>
          <w:szCs w:val="24"/>
        </w:rPr>
      </w:pPr>
      <w:r>
        <w:rPr>
          <w:rFonts w:ascii="Times New Roman" w:hAnsi="Times New Roman"/>
          <w:sz w:val="24"/>
          <w:szCs w:val="24"/>
        </w:rPr>
        <w:t>Já s</w:t>
      </w:r>
      <w:r w:rsidR="00BD5952" w:rsidRPr="002107BD">
        <w:rPr>
          <w:rFonts w:ascii="Times New Roman" w:hAnsi="Times New Roman"/>
          <w:sz w:val="24"/>
          <w:szCs w:val="24"/>
        </w:rPr>
        <w:t xml:space="preserve">egundo </w:t>
      </w:r>
      <w:proofErr w:type="spellStart"/>
      <w:r w:rsidR="002107BD" w:rsidRPr="007112D1">
        <w:rPr>
          <w:rFonts w:ascii="Times New Roman" w:hAnsi="Times New Roman"/>
          <w:sz w:val="24"/>
          <w:szCs w:val="24"/>
        </w:rPr>
        <w:t>Sekhon</w:t>
      </w:r>
      <w:proofErr w:type="spellEnd"/>
      <w:r w:rsidR="007112D1">
        <w:rPr>
          <w:rFonts w:ascii="Times New Roman" w:hAnsi="Times New Roman"/>
          <w:sz w:val="24"/>
          <w:szCs w:val="24"/>
        </w:rPr>
        <w:t xml:space="preserve"> </w:t>
      </w:r>
      <w:r w:rsidR="007112D1" w:rsidRPr="007112D1">
        <w:rPr>
          <w:rFonts w:ascii="Times New Roman" w:hAnsi="Times New Roman"/>
          <w:sz w:val="24"/>
          <w:szCs w:val="24"/>
        </w:rPr>
        <w:fldChar w:fldCharType="begin" w:fldLock="1"/>
      </w:r>
      <w:r w:rsidR="007B187D">
        <w:rPr>
          <w:rFonts w:ascii="Times New Roman" w:hAnsi="Times New Roman"/>
          <w:sz w:val="24"/>
          <w:szCs w:val="24"/>
        </w:rPr>
        <w:instrText>ADDIN CSL_CITATION { "citationItems" : [ { "id" : "ITEM-1", "itemData" : { "ISBN" : "0987624229", "ISSN" : "09744304", "abstract" : "The belief that pure single enantiomers would provide safer and more effective alternatives to racemates, has resulted in a greater stress on the evaluation and development of single isomers as drug products. Almost half of the drugs in use today are chiral. It is well established that the pharmacological activity is mostly restricted to one of the enantiomers and the individual enantiomers of racemic drugs frequently differ in their biological effects. In many cases, the inactive enantiomer shows unwanted side effects or even toxic effects. For pharmacological studies of such drugs, there is, therefore a need for an effective means of separating and quantifying the enantiomers in biological samples. The chiral switch process (racemate to single enantiomer ) has resulted in a number of agents being re-marketed as single enantiomer products.", "author" : [ { "dropping-particle" : "", "family" : "SEKHON", "given" : "BHUPINDER SINGH", "non-dropping-particle" : "", "parse-names" : false, "suffix" : "" } ], "container-title" : "International Journal of PharmTech Research", "id" : "ITEM-1", "issued" : { "date-parts" : [ [ "2010" ] ] }, "title" : "Enantioseparation of chiral drugs - An overview", "type" : "article-journal" }, "uris" : [ "http://www.mendeley.com/documents/?uuid=294bdb55-2da4-397c-b803-e85afd91b673" ] } ], "mendeley" : { "formattedCitation" : "(SEKHON, 2010)", "plainTextFormattedCitation" : "(SEKHON, 2010)", "previouslyFormattedCitation" : "(SEKHON, 2010)" }, "properties" : {  }, "schema" : "https://github.com/citation-style-language/schema/raw/master/csl-citation.json" }</w:instrText>
      </w:r>
      <w:r w:rsidR="007112D1" w:rsidRPr="007112D1">
        <w:rPr>
          <w:rFonts w:ascii="Times New Roman" w:hAnsi="Times New Roman"/>
          <w:sz w:val="24"/>
          <w:szCs w:val="24"/>
        </w:rPr>
        <w:fldChar w:fldCharType="separate"/>
      </w:r>
      <w:r w:rsidR="007112D1" w:rsidRPr="007112D1">
        <w:rPr>
          <w:rFonts w:ascii="Times New Roman" w:hAnsi="Times New Roman"/>
          <w:noProof/>
          <w:sz w:val="24"/>
          <w:szCs w:val="24"/>
        </w:rPr>
        <w:t>(SEKHON, 2010)</w:t>
      </w:r>
      <w:r w:rsidR="007112D1" w:rsidRPr="007112D1">
        <w:rPr>
          <w:rFonts w:ascii="Times New Roman" w:hAnsi="Times New Roman"/>
          <w:sz w:val="24"/>
          <w:szCs w:val="24"/>
        </w:rPr>
        <w:fldChar w:fldCharType="end"/>
      </w:r>
      <w:r>
        <w:rPr>
          <w:rFonts w:ascii="Times New Roman" w:hAnsi="Times New Roman"/>
          <w:sz w:val="24"/>
          <w:szCs w:val="24"/>
        </w:rPr>
        <w:t xml:space="preserve">, </w:t>
      </w:r>
      <w:r w:rsidR="002107BD" w:rsidRPr="002107BD">
        <w:rPr>
          <w:rFonts w:ascii="Times New Roman" w:hAnsi="Times New Roman"/>
          <w:sz w:val="24"/>
          <w:szCs w:val="24"/>
        </w:rPr>
        <w:t>os métodos analíticos</w:t>
      </w:r>
      <w:r w:rsidR="00A11B2E">
        <w:rPr>
          <w:rFonts w:ascii="Times New Roman" w:hAnsi="Times New Roman"/>
          <w:sz w:val="24"/>
          <w:szCs w:val="24"/>
        </w:rPr>
        <w:t xml:space="preserve">, atualmente, </w:t>
      </w:r>
      <w:r w:rsidR="002107BD" w:rsidRPr="002107BD">
        <w:rPr>
          <w:rFonts w:ascii="Times New Roman" w:hAnsi="Times New Roman"/>
          <w:sz w:val="24"/>
          <w:szCs w:val="24"/>
        </w:rPr>
        <w:t xml:space="preserve">explorados e utilizados para </w:t>
      </w:r>
      <w:proofErr w:type="spellStart"/>
      <w:r w:rsidR="002107BD" w:rsidRPr="002107BD">
        <w:rPr>
          <w:rFonts w:ascii="Times New Roman" w:hAnsi="Times New Roman"/>
          <w:sz w:val="24"/>
          <w:szCs w:val="24"/>
        </w:rPr>
        <w:t>enantioseparação</w:t>
      </w:r>
      <w:proofErr w:type="spellEnd"/>
      <w:r w:rsidR="002107BD" w:rsidRPr="002107BD">
        <w:rPr>
          <w:rFonts w:ascii="Times New Roman" w:hAnsi="Times New Roman"/>
          <w:sz w:val="24"/>
          <w:szCs w:val="24"/>
        </w:rPr>
        <w:t xml:space="preserve"> incluem cristalização </w:t>
      </w:r>
      <w:proofErr w:type="spellStart"/>
      <w:r w:rsidR="002107BD" w:rsidRPr="002107BD">
        <w:rPr>
          <w:rFonts w:ascii="Times New Roman" w:hAnsi="Times New Roman"/>
          <w:sz w:val="24"/>
          <w:szCs w:val="24"/>
        </w:rPr>
        <w:t>diastereo</w:t>
      </w:r>
      <w:r w:rsidR="002107BD">
        <w:rPr>
          <w:rFonts w:ascii="Times New Roman" w:hAnsi="Times New Roman"/>
          <w:sz w:val="24"/>
          <w:szCs w:val="24"/>
        </w:rPr>
        <w:t>iso</w:t>
      </w:r>
      <w:r w:rsidR="002107BD" w:rsidRPr="002107BD">
        <w:rPr>
          <w:rFonts w:ascii="Times New Roman" w:hAnsi="Times New Roman"/>
          <w:sz w:val="24"/>
          <w:szCs w:val="24"/>
        </w:rPr>
        <w:t>mérica</w:t>
      </w:r>
      <w:proofErr w:type="spellEnd"/>
      <w:r w:rsidR="002107BD" w:rsidRPr="002107BD">
        <w:rPr>
          <w:rFonts w:ascii="Times New Roman" w:hAnsi="Times New Roman"/>
          <w:sz w:val="24"/>
          <w:szCs w:val="24"/>
        </w:rPr>
        <w:t xml:space="preserve">, </w:t>
      </w:r>
      <w:proofErr w:type="spellStart"/>
      <w:r w:rsidR="002107BD" w:rsidRPr="002107BD">
        <w:rPr>
          <w:rFonts w:ascii="Times New Roman" w:hAnsi="Times New Roman"/>
          <w:sz w:val="24"/>
          <w:szCs w:val="24"/>
        </w:rPr>
        <w:t>biocatálise</w:t>
      </w:r>
      <w:proofErr w:type="spellEnd"/>
      <w:r w:rsidR="002107BD" w:rsidRPr="002107BD">
        <w:rPr>
          <w:rFonts w:ascii="Times New Roman" w:hAnsi="Times New Roman"/>
          <w:sz w:val="24"/>
          <w:szCs w:val="24"/>
        </w:rPr>
        <w:t xml:space="preserve">, técnicas cromatográficas </w:t>
      </w:r>
      <w:proofErr w:type="spellStart"/>
      <w:r w:rsidR="00A11B2E">
        <w:rPr>
          <w:rFonts w:ascii="Times New Roman" w:hAnsi="Times New Roman"/>
          <w:sz w:val="24"/>
          <w:szCs w:val="24"/>
        </w:rPr>
        <w:t>C</w:t>
      </w:r>
      <w:r w:rsidR="002107BD" w:rsidRPr="002107BD">
        <w:rPr>
          <w:rFonts w:ascii="Times New Roman" w:hAnsi="Times New Roman"/>
          <w:sz w:val="24"/>
          <w:szCs w:val="24"/>
        </w:rPr>
        <w:t>cromatografia</w:t>
      </w:r>
      <w:proofErr w:type="spellEnd"/>
      <w:r w:rsidR="002107BD" w:rsidRPr="002107BD">
        <w:rPr>
          <w:rFonts w:ascii="Times New Roman" w:hAnsi="Times New Roman"/>
          <w:sz w:val="24"/>
          <w:szCs w:val="24"/>
        </w:rPr>
        <w:t xml:space="preserve"> em camada fina, cromatografia em fase gasosa, </w:t>
      </w:r>
      <w:proofErr w:type="gramStart"/>
      <w:r w:rsidR="002107BD" w:rsidRPr="002107BD">
        <w:rPr>
          <w:rFonts w:ascii="Times New Roman" w:hAnsi="Times New Roman"/>
          <w:sz w:val="24"/>
          <w:szCs w:val="24"/>
        </w:rPr>
        <w:t>cromatografia</w:t>
      </w:r>
      <w:proofErr w:type="gramEnd"/>
      <w:r w:rsidR="002107BD" w:rsidRPr="002107BD">
        <w:rPr>
          <w:rFonts w:ascii="Times New Roman" w:hAnsi="Times New Roman"/>
          <w:sz w:val="24"/>
          <w:szCs w:val="24"/>
        </w:rPr>
        <w:t xml:space="preserve"> de fluidos </w:t>
      </w:r>
      <w:proofErr w:type="spellStart"/>
      <w:r w:rsidR="002107BD" w:rsidRPr="002107BD">
        <w:rPr>
          <w:rFonts w:ascii="Times New Roman" w:hAnsi="Times New Roman"/>
          <w:sz w:val="24"/>
          <w:szCs w:val="24"/>
        </w:rPr>
        <w:t>super</w:t>
      </w:r>
      <w:proofErr w:type="spellEnd"/>
      <w:r w:rsidR="002107BD" w:rsidRPr="002107BD">
        <w:rPr>
          <w:rFonts w:ascii="Times New Roman" w:hAnsi="Times New Roman"/>
          <w:sz w:val="24"/>
          <w:szCs w:val="24"/>
        </w:rPr>
        <w:t xml:space="preserve"> e subcrítico, cromatogra</w:t>
      </w:r>
      <w:r w:rsidR="00BF6FF5">
        <w:rPr>
          <w:rFonts w:ascii="Times New Roman" w:hAnsi="Times New Roman"/>
          <w:sz w:val="24"/>
          <w:szCs w:val="24"/>
        </w:rPr>
        <w:t>fia líquida de alta performance</w:t>
      </w:r>
      <w:r w:rsidR="002107BD" w:rsidRPr="002107BD">
        <w:rPr>
          <w:rFonts w:ascii="Times New Roman" w:hAnsi="Times New Roman"/>
          <w:sz w:val="24"/>
          <w:szCs w:val="24"/>
        </w:rPr>
        <w:t xml:space="preserve">, cromatografia de afinidade eletroquímica, técnicas </w:t>
      </w:r>
      <w:proofErr w:type="spellStart"/>
      <w:r w:rsidR="002107BD" w:rsidRPr="002107BD">
        <w:rPr>
          <w:rFonts w:ascii="Times New Roman" w:hAnsi="Times New Roman"/>
          <w:sz w:val="24"/>
          <w:szCs w:val="24"/>
        </w:rPr>
        <w:t>eletromigração</w:t>
      </w:r>
      <w:proofErr w:type="spellEnd"/>
      <w:r w:rsidR="002107BD" w:rsidRPr="002107BD">
        <w:rPr>
          <w:rFonts w:ascii="Times New Roman" w:hAnsi="Times New Roman"/>
          <w:sz w:val="24"/>
          <w:szCs w:val="24"/>
        </w:rPr>
        <w:t xml:space="preserve"> (eletroforese capilar) e </w:t>
      </w:r>
      <w:proofErr w:type="spellStart"/>
      <w:r w:rsidR="002107BD" w:rsidRPr="002107BD">
        <w:rPr>
          <w:rFonts w:ascii="Times New Roman" w:hAnsi="Times New Roman"/>
          <w:sz w:val="24"/>
          <w:szCs w:val="24"/>
        </w:rPr>
        <w:t>eletrocromatografia</w:t>
      </w:r>
      <w:proofErr w:type="spellEnd"/>
      <w:r w:rsidR="002107BD" w:rsidRPr="002107BD">
        <w:rPr>
          <w:rFonts w:ascii="Times New Roman" w:hAnsi="Times New Roman"/>
          <w:sz w:val="24"/>
          <w:szCs w:val="24"/>
        </w:rPr>
        <w:t xml:space="preserve"> capilar.</w:t>
      </w:r>
      <w:r w:rsidR="002107BD">
        <w:rPr>
          <w:rFonts w:ascii="Times New Roman" w:hAnsi="Times New Roman"/>
          <w:sz w:val="24"/>
          <w:szCs w:val="24"/>
        </w:rPr>
        <w:t xml:space="preserve"> </w:t>
      </w:r>
      <w:r w:rsidR="00A11B2E">
        <w:rPr>
          <w:rFonts w:ascii="Times New Roman" w:hAnsi="Times New Roman"/>
          <w:sz w:val="24"/>
          <w:szCs w:val="24"/>
        </w:rPr>
        <w:t>Muitos desses</w:t>
      </w:r>
      <w:r w:rsidR="002107BD">
        <w:rPr>
          <w:rFonts w:ascii="Times New Roman" w:hAnsi="Times New Roman"/>
          <w:sz w:val="24"/>
          <w:szCs w:val="24"/>
        </w:rPr>
        <w:t xml:space="preserve"> métodos são difíceis</w:t>
      </w:r>
      <w:r w:rsidR="00155B05">
        <w:rPr>
          <w:rFonts w:ascii="Times New Roman" w:hAnsi="Times New Roman"/>
          <w:sz w:val="24"/>
          <w:szCs w:val="24"/>
        </w:rPr>
        <w:t xml:space="preserve"> e dispendiosos.</w:t>
      </w:r>
      <w:r w:rsidR="00A11B2E">
        <w:rPr>
          <w:rFonts w:ascii="Times New Roman" w:hAnsi="Times New Roman"/>
          <w:sz w:val="24"/>
          <w:szCs w:val="24"/>
        </w:rPr>
        <w:t xml:space="preserve"> No entanto,</w:t>
      </w:r>
      <w:r w:rsidR="00A11B2E" w:rsidRPr="00A11B2E">
        <w:rPr>
          <w:rFonts w:ascii="Times New Roman" w:hAnsi="Times New Roman"/>
          <w:sz w:val="24"/>
          <w:szCs w:val="24"/>
        </w:rPr>
        <w:t xml:space="preserve"> especialistas </w:t>
      </w:r>
      <w:r w:rsidR="00A11B2E">
        <w:rPr>
          <w:rFonts w:ascii="Times New Roman" w:hAnsi="Times New Roman"/>
          <w:sz w:val="24"/>
          <w:szCs w:val="24"/>
        </w:rPr>
        <w:t xml:space="preserve">acreditam </w:t>
      </w:r>
      <w:r w:rsidR="00A11B2E" w:rsidRPr="00A11B2E">
        <w:rPr>
          <w:rFonts w:ascii="Times New Roman" w:hAnsi="Times New Roman"/>
          <w:sz w:val="24"/>
          <w:szCs w:val="24"/>
        </w:rPr>
        <w:t xml:space="preserve">que o desenvolvimento de </w:t>
      </w:r>
      <w:proofErr w:type="spellStart"/>
      <w:r w:rsidR="00A11B2E" w:rsidRPr="00A11B2E">
        <w:rPr>
          <w:rFonts w:ascii="Times New Roman" w:hAnsi="Times New Roman"/>
          <w:sz w:val="24"/>
          <w:szCs w:val="24"/>
        </w:rPr>
        <w:t>enantiômeros</w:t>
      </w:r>
      <w:proofErr w:type="spellEnd"/>
      <w:r w:rsidR="00A11B2E" w:rsidRPr="00A11B2E">
        <w:rPr>
          <w:rFonts w:ascii="Times New Roman" w:hAnsi="Times New Roman"/>
          <w:sz w:val="24"/>
          <w:szCs w:val="24"/>
        </w:rPr>
        <w:t xml:space="preserve"> puros</w:t>
      </w:r>
      <w:r w:rsidR="00A11B2E">
        <w:rPr>
          <w:rFonts w:ascii="Times New Roman" w:hAnsi="Times New Roman"/>
          <w:sz w:val="24"/>
          <w:szCs w:val="24"/>
        </w:rPr>
        <w:t xml:space="preserve"> tem se tornado </w:t>
      </w:r>
      <w:r w:rsidR="00A11B2E" w:rsidRPr="00A11B2E">
        <w:rPr>
          <w:rFonts w:ascii="Times New Roman" w:hAnsi="Times New Roman"/>
          <w:sz w:val="24"/>
          <w:szCs w:val="24"/>
        </w:rPr>
        <w:t xml:space="preserve">economicamente viável e os projetos comerciais existentes demonstraram que muitas vezes é mais barato produzir medicamentos </w:t>
      </w:r>
      <w:proofErr w:type="spellStart"/>
      <w:r w:rsidR="00A11B2E">
        <w:rPr>
          <w:rFonts w:ascii="Times New Roman" w:hAnsi="Times New Roman"/>
          <w:sz w:val="24"/>
          <w:szCs w:val="24"/>
        </w:rPr>
        <w:t>enantiopuros</w:t>
      </w:r>
      <w:proofErr w:type="spellEnd"/>
      <w:r w:rsidR="00A11B2E">
        <w:rPr>
          <w:rFonts w:ascii="Times New Roman" w:hAnsi="Times New Roman"/>
          <w:sz w:val="24"/>
          <w:szCs w:val="24"/>
        </w:rPr>
        <w:t xml:space="preserve"> </w:t>
      </w:r>
      <w:r w:rsidR="00A11B2E" w:rsidRPr="00A11B2E">
        <w:rPr>
          <w:rFonts w:ascii="Times New Roman" w:hAnsi="Times New Roman"/>
          <w:sz w:val="24"/>
          <w:szCs w:val="24"/>
        </w:rPr>
        <w:t>com cromatografia do que com tecnologias tradicionais, como a cristalização ou a síntese assimétrica.</w:t>
      </w:r>
    </w:p>
    <w:p w:rsidR="003858D4" w:rsidRPr="006B1FAF" w:rsidRDefault="00E84368" w:rsidP="0022234B">
      <w:pPr>
        <w:spacing w:after="0"/>
        <w:ind w:firstLine="371"/>
        <w:jc w:val="both"/>
        <w:rPr>
          <w:rFonts w:ascii="Times New Roman" w:hAnsi="Times New Roman"/>
          <w:sz w:val="24"/>
          <w:szCs w:val="24"/>
        </w:rPr>
      </w:pPr>
      <w:r>
        <w:rPr>
          <w:rFonts w:ascii="Times New Roman" w:hAnsi="Times New Roman"/>
          <w:sz w:val="24"/>
          <w:szCs w:val="24"/>
        </w:rPr>
        <w:t>Uma</w:t>
      </w:r>
      <w:r w:rsidR="003858D4" w:rsidRPr="00E84368">
        <w:rPr>
          <w:rFonts w:ascii="Times New Roman" w:hAnsi="Times New Roman"/>
          <w:sz w:val="24"/>
          <w:szCs w:val="24"/>
        </w:rPr>
        <w:t xml:space="preserve"> eficiente regulamentação da produção, </w:t>
      </w:r>
      <w:proofErr w:type="gramStart"/>
      <w:r w:rsidR="003858D4" w:rsidRPr="00E84368">
        <w:rPr>
          <w:rFonts w:ascii="Times New Roman" w:hAnsi="Times New Roman"/>
          <w:sz w:val="24"/>
          <w:szCs w:val="24"/>
        </w:rPr>
        <w:t>implementação</w:t>
      </w:r>
      <w:proofErr w:type="gramEnd"/>
      <w:r w:rsidR="003858D4" w:rsidRPr="00E84368">
        <w:rPr>
          <w:rFonts w:ascii="Times New Roman" w:hAnsi="Times New Roman"/>
          <w:sz w:val="24"/>
          <w:szCs w:val="24"/>
        </w:rPr>
        <w:t xml:space="preserve"> de novas ferramentas para separação bem como a conscientização por parte das autoridades, das indústrias farmacêuticas e da academia acerca da relevância do controle da </w:t>
      </w:r>
      <w:proofErr w:type="spellStart"/>
      <w:r w:rsidR="003858D4" w:rsidRPr="00E84368">
        <w:rPr>
          <w:rFonts w:ascii="Times New Roman" w:hAnsi="Times New Roman"/>
          <w:sz w:val="24"/>
          <w:szCs w:val="24"/>
        </w:rPr>
        <w:t>estereoquímica</w:t>
      </w:r>
      <w:proofErr w:type="spellEnd"/>
      <w:r w:rsidR="003858D4" w:rsidRPr="00E84368">
        <w:rPr>
          <w:rFonts w:ascii="Times New Roman" w:hAnsi="Times New Roman"/>
          <w:sz w:val="24"/>
          <w:szCs w:val="24"/>
        </w:rPr>
        <w:t xml:space="preserve"> dos fármacos para a produção de formas </w:t>
      </w:r>
      <w:proofErr w:type="spellStart"/>
      <w:r w:rsidR="003858D4" w:rsidRPr="00E84368">
        <w:rPr>
          <w:rFonts w:ascii="Times New Roman" w:hAnsi="Times New Roman"/>
          <w:sz w:val="24"/>
          <w:szCs w:val="24"/>
        </w:rPr>
        <w:t>enantiopuras</w:t>
      </w:r>
      <w:proofErr w:type="spellEnd"/>
      <w:r w:rsidR="003858D4" w:rsidRPr="00E84368">
        <w:rPr>
          <w:rFonts w:ascii="Times New Roman" w:hAnsi="Times New Roman"/>
          <w:sz w:val="24"/>
          <w:szCs w:val="24"/>
        </w:rPr>
        <w:t xml:space="preserve"> e mais seguras</w:t>
      </w:r>
      <w:r w:rsidRPr="00E84368">
        <w:rPr>
          <w:rFonts w:ascii="Times New Roman" w:hAnsi="Times New Roman"/>
          <w:sz w:val="24"/>
          <w:szCs w:val="24"/>
        </w:rPr>
        <w:t xml:space="preserve"> é necessária</w:t>
      </w:r>
      <w:r w:rsidR="003858D4" w:rsidRPr="00E84368">
        <w:rPr>
          <w:rFonts w:ascii="Times New Roman" w:hAnsi="Times New Roman"/>
          <w:sz w:val="24"/>
          <w:szCs w:val="24"/>
        </w:rPr>
        <w:t>, já que os fármacos que apresentam essa característica ocupam uma grande parcela do mercado farmacêutico.</w:t>
      </w:r>
    </w:p>
    <w:p w:rsidR="00FC4B0B" w:rsidRPr="002107BD" w:rsidRDefault="00E84368" w:rsidP="0022234B">
      <w:pPr>
        <w:spacing w:after="0"/>
        <w:ind w:firstLine="372"/>
        <w:jc w:val="both"/>
        <w:rPr>
          <w:rFonts w:ascii="Times New Roman" w:hAnsi="Times New Roman"/>
          <w:sz w:val="24"/>
          <w:szCs w:val="24"/>
        </w:rPr>
      </w:pPr>
      <w:r>
        <w:rPr>
          <w:rFonts w:ascii="Times New Roman" w:hAnsi="Times New Roman"/>
          <w:sz w:val="24"/>
          <w:szCs w:val="24"/>
        </w:rPr>
        <w:t xml:space="preserve">Dessa forma, esse estudo consiste de uma revisão bibliográfica, a qual buscou na literatura, artigos que enfatizassem a importância e auxiliassem na superação das limitações na produção de fármacos </w:t>
      </w:r>
      <w:proofErr w:type="spellStart"/>
      <w:r>
        <w:rPr>
          <w:rFonts w:ascii="Times New Roman" w:hAnsi="Times New Roman"/>
          <w:sz w:val="24"/>
          <w:szCs w:val="24"/>
        </w:rPr>
        <w:t>quirais</w:t>
      </w:r>
      <w:proofErr w:type="spellEnd"/>
      <w:r>
        <w:rPr>
          <w:rFonts w:ascii="Times New Roman" w:hAnsi="Times New Roman"/>
          <w:sz w:val="24"/>
          <w:szCs w:val="24"/>
        </w:rPr>
        <w:t>.</w:t>
      </w:r>
    </w:p>
    <w:p w:rsidR="00731FD0" w:rsidRDefault="00264BB4" w:rsidP="0022234B">
      <w:pPr>
        <w:spacing w:after="0"/>
        <w:ind w:firstLine="371"/>
        <w:jc w:val="both"/>
        <w:rPr>
          <w:rFonts w:ascii="Times New Roman" w:hAnsi="Times New Roman"/>
          <w:sz w:val="24"/>
          <w:szCs w:val="24"/>
        </w:rPr>
      </w:pPr>
      <w:r w:rsidRPr="00E84368">
        <w:rPr>
          <w:rFonts w:ascii="Times New Roman" w:hAnsi="Times New Roman"/>
          <w:sz w:val="24"/>
          <w:szCs w:val="24"/>
        </w:rPr>
        <w:t xml:space="preserve">Portanto, o </w:t>
      </w:r>
      <w:r w:rsidR="00E84368">
        <w:rPr>
          <w:rFonts w:ascii="Times New Roman" w:hAnsi="Times New Roman"/>
          <w:sz w:val="24"/>
          <w:szCs w:val="24"/>
        </w:rPr>
        <w:t xml:space="preserve">principal </w:t>
      </w:r>
      <w:r w:rsidRPr="00E84368">
        <w:rPr>
          <w:rFonts w:ascii="Times New Roman" w:hAnsi="Times New Roman"/>
          <w:sz w:val="24"/>
          <w:szCs w:val="24"/>
        </w:rPr>
        <w:t xml:space="preserve">objetivo deste trabalho </w:t>
      </w:r>
      <w:r w:rsidR="00E84368">
        <w:rPr>
          <w:rFonts w:ascii="Times New Roman" w:hAnsi="Times New Roman"/>
          <w:sz w:val="24"/>
          <w:szCs w:val="24"/>
        </w:rPr>
        <w:t>foi</w:t>
      </w:r>
      <w:r w:rsidR="00E90FAD" w:rsidRPr="00E84368">
        <w:rPr>
          <w:rFonts w:ascii="Times New Roman" w:hAnsi="Times New Roman"/>
          <w:sz w:val="24"/>
          <w:szCs w:val="24"/>
        </w:rPr>
        <w:t xml:space="preserve"> identificar quais os principais autores, periódicos</w:t>
      </w:r>
      <w:r w:rsidR="00E84368">
        <w:rPr>
          <w:rFonts w:ascii="Times New Roman" w:hAnsi="Times New Roman"/>
          <w:sz w:val="24"/>
          <w:szCs w:val="24"/>
        </w:rPr>
        <w:t>, revistas, frequência de publicações</w:t>
      </w:r>
      <w:r w:rsidR="00E90FAD" w:rsidRPr="00E84368">
        <w:rPr>
          <w:rFonts w:ascii="Times New Roman" w:hAnsi="Times New Roman"/>
          <w:sz w:val="24"/>
          <w:szCs w:val="24"/>
        </w:rPr>
        <w:t xml:space="preserve"> relacionados </w:t>
      </w:r>
      <w:proofErr w:type="gramStart"/>
      <w:r w:rsidR="00E90FAD" w:rsidRPr="00E84368">
        <w:rPr>
          <w:rFonts w:ascii="Times New Roman" w:hAnsi="Times New Roman"/>
          <w:sz w:val="24"/>
          <w:szCs w:val="24"/>
        </w:rPr>
        <w:t>à</w:t>
      </w:r>
      <w:proofErr w:type="gramEnd"/>
      <w:r w:rsidR="00E90FAD" w:rsidRPr="00E84368">
        <w:rPr>
          <w:rFonts w:ascii="Times New Roman" w:hAnsi="Times New Roman"/>
          <w:sz w:val="24"/>
          <w:szCs w:val="24"/>
        </w:rPr>
        <w:t xml:space="preserve"> </w:t>
      </w:r>
      <w:r w:rsidR="00E84368">
        <w:rPr>
          <w:rFonts w:ascii="Times New Roman" w:hAnsi="Times New Roman"/>
          <w:sz w:val="24"/>
          <w:szCs w:val="24"/>
        </w:rPr>
        <w:t xml:space="preserve">essa </w:t>
      </w:r>
      <w:r w:rsidR="00E90FAD" w:rsidRPr="00E84368">
        <w:rPr>
          <w:rFonts w:ascii="Times New Roman" w:hAnsi="Times New Roman"/>
          <w:sz w:val="24"/>
          <w:szCs w:val="24"/>
        </w:rPr>
        <w:t>área bem como os trabalhos de maior impacto</w:t>
      </w:r>
      <w:r w:rsidR="00731FD0">
        <w:rPr>
          <w:rFonts w:ascii="Times New Roman" w:hAnsi="Times New Roman"/>
          <w:sz w:val="24"/>
          <w:szCs w:val="24"/>
        </w:rPr>
        <w:t xml:space="preserve"> visando um levantamento e monitoramento da situação do </w:t>
      </w:r>
      <w:r w:rsidR="00890C38">
        <w:rPr>
          <w:rFonts w:ascii="Times New Roman" w:hAnsi="Times New Roman"/>
          <w:sz w:val="24"/>
          <w:szCs w:val="24"/>
        </w:rPr>
        <w:t>tema.</w:t>
      </w:r>
    </w:p>
    <w:p w:rsidR="00731FD0" w:rsidRPr="001271EE" w:rsidRDefault="00731FD0" w:rsidP="0022234B">
      <w:pPr>
        <w:spacing w:after="0"/>
        <w:ind w:firstLine="372"/>
        <w:jc w:val="both"/>
        <w:rPr>
          <w:rFonts w:ascii="Times New Roman" w:hAnsi="Times New Roman"/>
          <w:sz w:val="24"/>
          <w:szCs w:val="24"/>
        </w:rPr>
      </w:pPr>
      <w:r w:rsidRPr="001271EE">
        <w:rPr>
          <w:rFonts w:ascii="Times New Roman" w:hAnsi="Times New Roman"/>
          <w:sz w:val="24"/>
          <w:szCs w:val="24"/>
        </w:rPr>
        <w:t xml:space="preserve">O artigo é </w:t>
      </w:r>
      <w:r w:rsidRPr="007A53D2">
        <w:rPr>
          <w:rFonts w:ascii="Times New Roman" w:hAnsi="Times New Roman"/>
          <w:sz w:val="24"/>
          <w:szCs w:val="24"/>
        </w:rPr>
        <w:t xml:space="preserve">constituído por </w:t>
      </w:r>
      <w:proofErr w:type="gramStart"/>
      <w:r w:rsidRPr="007A53D2">
        <w:rPr>
          <w:rFonts w:ascii="Times New Roman" w:hAnsi="Times New Roman"/>
          <w:sz w:val="24"/>
          <w:szCs w:val="24"/>
        </w:rPr>
        <w:t>6</w:t>
      </w:r>
      <w:proofErr w:type="gramEnd"/>
      <w:r w:rsidR="007A53D2" w:rsidRPr="007A53D2">
        <w:rPr>
          <w:rFonts w:ascii="Times New Roman" w:hAnsi="Times New Roman"/>
          <w:sz w:val="24"/>
          <w:szCs w:val="24"/>
        </w:rPr>
        <w:t xml:space="preserve"> seções</w:t>
      </w:r>
      <w:r w:rsidR="007A53D2">
        <w:rPr>
          <w:rFonts w:ascii="Times New Roman" w:hAnsi="Times New Roman"/>
          <w:sz w:val="24"/>
          <w:szCs w:val="24"/>
        </w:rPr>
        <w:t>, iniciando com esta</w:t>
      </w:r>
      <w:r>
        <w:rPr>
          <w:rFonts w:ascii="Times New Roman" w:hAnsi="Times New Roman"/>
          <w:sz w:val="24"/>
          <w:szCs w:val="24"/>
        </w:rPr>
        <w:t xml:space="preserve"> introdução.</w:t>
      </w:r>
      <w:r w:rsidRPr="001271EE">
        <w:rPr>
          <w:rFonts w:ascii="Times New Roman" w:hAnsi="Times New Roman"/>
          <w:sz w:val="24"/>
          <w:szCs w:val="24"/>
        </w:rPr>
        <w:t xml:space="preserve"> </w:t>
      </w:r>
      <w:r>
        <w:rPr>
          <w:rFonts w:ascii="Times New Roman" w:hAnsi="Times New Roman"/>
          <w:sz w:val="24"/>
          <w:szCs w:val="24"/>
        </w:rPr>
        <w:t xml:space="preserve">A </w:t>
      </w:r>
      <w:r w:rsidR="00FF76B7">
        <w:rPr>
          <w:rFonts w:ascii="Times New Roman" w:hAnsi="Times New Roman"/>
          <w:sz w:val="24"/>
          <w:szCs w:val="24"/>
        </w:rPr>
        <w:t xml:space="preserve">seção dois </w:t>
      </w:r>
      <w:r w:rsidR="001759A8">
        <w:rPr>
          <w:rFonts w:ascii="Times New Roman" w:hAnsi="Times New Roman"/>
          <w:sz w:val="24"/>
          <w:szCs w:val="24"/>
        </w:rPr>
        <w:t>consiste no referencial teórico e apresenta</w:t>
      </w:r>
      <w:r w:rsidRPr="001271EE">
        <w:rPr>
          <w:rFonts w:ascii="Times New Roman" w:hAnsi="Times New Roman"/>
          <w:sz w:val="24"/>
          <w:szCs w:val="24"/>
        </w:rPr>
        <w:t xml:space="preserve"> uma </w:t>
      </w:r>
      <w:r w:rsidR="00FF76B7">
        <w:rPr>
          <w:rFonts w:ascii="Times New Roman" w:hAnsi="Times New Roman"/>
          <w:sz w:val="24"/>
          <w:szCs w:val="24"/>
        </w:rPr>
        <w:t xml:space="preserve">revisão na literatura </w:t>
      </w:r>
      <w:r w:rsidR="00FF76B7" w:rsidRPr="001271EE">
        <w:rPr>
          <w:rFonts w:ascii="Times New Roman" w:hAnsi="Times New Roman"/>
          <w:sz w:val="24"/>
          <w:szCs w:val="24"/>
        </w:rPr>
        <w:t>sobre</w:t>
      </w:r>
      <w:r w:rsidR="00FF76B7">
        <w:rPr>
          <w:rFonts w:ascii="Times New Roman" w:hAnsi="Times New Roman"/>
          <w:sz w:val="24"/>
          <w:szCs w:val="24"/>
        </w:rPr>
        <w:t xml:space="preserve"> a importância da </w:t>
      </w:r>
      <w:proofErr w:type="spellStart"/>
      <w:r w:rsidR="00FF76B7">
        <w:rPr>
          <w:rFonts w:ascii="Times New Roman" w:hAnsi="Times New Roman"/>
          <w:sz w:val="24"/>
          <w:szCs w:val="24"/>
        </w:rPr>
        <w:t>quiralidade</w:t>
      </w:r>
      <w:proofErr w:type="spellEnd"/>
      <w:r w:rsidR="00FF76B7">
        <w:rPr>
          <w:rFonts w:ascii="Times New Roman" w:hAnsi="Times New Roman"/>
          <w:sz w:val="24"/>
          <w:szCs w:val="24"/>
        </w:rPr>
        <w:t xml:space="preserve"> </w:t>
      </w:r>
      <w:r w:rsidR="001759A8">
        <w:rPr>
          <w:rFonts w:ascii="Times New Roman" w:hAnsi="Times New Roman"/>
          <w:sz w:val="24"/>
          <w:szCs w:val="24"/>
        </w:rPr>
        <w:t>dos</w:t>
      </w:r>
      <w:r w:rsidR="00FF76B7">
        <w:rPr>
          <w:rFonts w:ascii="Times New Roman" w:hAnsi="Times New Roman"/>
          <w:sz w:val="24"/>
          <w:szCs w:val="24"/>
        </w:rPr>
        <w:t xml:space="preserve"> </w:t>
      </w:r>
      <w:r w:rsidR="00FF76B7">
        <w:rPr>
          <w:rFonts w:ascii="Times New Roman" w:hAnsi="Times New Roman"/>
          <w:sz w:val="24"/>
          <w:szCs w:val="24"/>
        </w:rPr>
        <w:lastRenderedPageBreak/>
        <w:t>fármacos</w:t>
      </w:r>
      <w:r w:rsidRPr="001271EE">
        <w:rPr>
          <w:rFonts w:ascii="Times New Roman" w:hAnsi="Times New Roman"/>
          <w:sz w:val="24"/>
          <w:szCs w:val="24"/>
        </w:rPr>
        <w:t xml:space="preserve">. A </w:t>
      </w:r>
      <w:r w:rsidR="00FF76B7">
        <w:rPr>
          <w:rFonts w:ascii="Times New Roman" w:hAnsi="Times New Roman"/>
          <w:sz w:val="24"/>
          <w:szCs w:val="24"/>
        </w:rPr>
        <w:t xml:space="preserve">próxima </w:t>
      </w:r>
      <w:r w:rsidRPr="001271EE">
        <w:rPr>
          <w:rFonts w:ascii="Times New Roman" w:hAnsi="Times New Roman"/>
          <w:sz w:val="24"/>
          <w:szCs w:val="24"/>
        </w:rPr>
        <w:t>seção</w:t>
      </w:r>
      <w:r w:rsidR="00FF76B7">
        <w:rPr>
          <w:rFonts w:ascii="Times New Roman" w:hAnsi="Times New Roman"/>
          <w:sz w:val="24"/>
          <w:szCs w:val="24"/>
        </w:rPr>
        <w:t xml:space="preserve"> </w:t>
      </w:r>
      <w:r w:rsidRPr="001271EE">
        <w:rPr>
          <w:rFonts w:ascii="Times New Roman" w:hAnsi="Times New Roman"/>
          <w:sz w:val="24"/>
          <w:szCs w:val="24"/>
        </w:rPr>
        <w:t>apresenta a metodologia utilizada p</w:t>
      </w:r>
      <w:r w:rsidR="001759A8">
        <w:rPr>
          <w:rFonts w:ascii="Times New Roman" w:hAnsi="Times New Roman"/>
          <w:sz w:val="24"/>
          <w:szCs w:val="24"/>
        </w:rPr>
        <w:t>ara a</w:t>
      </w:r>
      <w:r w:rsidRPr="001271EE">
        <w:rPr>
          <w:rFonts w:ascii="Times New Roman" w:hAnsi="Times New Roman"/>
          <w:sz w:val="24"/>
          <w:szCs w:val="24"/>
        </w:rPr>
        <w:t xml:space="preserve"> pesquisa e na</w:t>
      </w:r>
      <w:r w:rsidR="0022234B">
        <w:rPr>
          <w:rFonts w:ascii="Times New Roman" w:hAnsi="Times New Roman"/>
          <w:sz w:val="24"/>
          <w:szCs w:val="24"/>
        </w:rPr>
        <w:t xml:space="preserve"> </w:t>
      </w:r>
      <w:r w:rsidR="0022234B" w:rsidRPr="0022234B">
        <w:rPr>
          <w:rFonts w:ascii="Times New Roman" w:hAnsi="Times New Roman"/>
          <w:sz w:val="24"/>
          <w:szCs w:val="24"/>
        </w:rPr>
        <w:t>se</w:t>
      </w:r>
      <w:r w:rsidR="00890C38" w:rsidRPr="0022234B">
        <w:rPr>
          <w:rFonts w:ascii="Times New Roman" w:hAnsi="Times New Roman"/>
          <w:sz w:val="24"/>
          <w:szCs w:val="24"/>
        </w:rPr>
        <w:t>ção</w:t>
      </w:r>
      <w:r w:rsidRPr="0022234B">
        <w:rPr>
          <w:rFonts w:ascii="Times New Roman" w:hAnsi="Times New Roman"/>
          <w:sz w:val="24"/>
          <w:szCs w:val="24"/>
        </w:rPr>
        <w:t xml:space="preserve"> </w:t>
      </w:r>
      <w:r w:rsidR="0022234B">
        <w:rPr>
          <w:rFonts w:ascii="Times New Roman" w:hAnsi="Times New Roman"/>
          <w:sz w:val="24"/>
          <w:szCs w:val="24"/>
        </w:rPr>
        <w:t>quatro</w:t>
      </w:r>
      <w:r w:rsidR="00890C38">
        <w:rPr>
          <w:rFonts w:ascii="Times New Roman" w:hAnsi="Times New Roman"/>
          <w:sz w:val="24"/>
          <w:szCs w:val="24"/>
        </w:rPr>
        <w:t xml:space="preserve"> são</w:t>
      </w:r>
      <w:r w:rsidRPr="001271EE">
        <w:rPr>
          <w:rFonts w:ascii="Times New Roman" w:hAnsi="Times New Roman"/>
          <w:sz w:val="24"/>
          <w:szCs w:val="24"/>
        </w:rPr>
        <w:t xml:space="preserve"> </w:t>
      </w:r>
      <w:r w:rsidR="00FF76B7">
        <w:rPr>
          <w:rFonts w:ascii="Times New Roman" w:hAnsi="Times New Roman"/>
          <w:sz w:val="24"/>
          <w:szCs w:val="24"/>
        </w:rPr>
        <w:t>descrito</w:t>
      </w:r>
      <w:r w:rsidR="00890C38">
        <w:rPr>
          <w:rFonts w:ascii="Times New Roman" w:hAnsi="Times New Roman"/>
          <w:sz w:val="24"/>
          <w:szCs w:val="24"/>
        </w:rPr>
        <w:t>s</w:t>
      </w:r>
      <w:r w:rsidR="001759A8">
        <w:rPr>
          <w:rFonts w:ascii="Times New Roman" w:hAnsi="Times New Roman"/>
          <w:sz w:val="24"/>
          <w:szCs w:val="24"/>
        </w:rPr>
        <w:t xml:space="preserve"> os gráficos e</w:t>
      </w:r>
      <w:r w:rsidR="00FF76B7">
        <w:rPr>
          <w:rFonts w:ascii="Times New Roman" w:hAnsi="Times New Roman"/>
          <w:sz w:val="24"/>
          <w:szCs w:val="24"/>
        </w:rPr>
        <w:t xml:space="preserve"> os dados analisados. Por fim,</w:t>
      </w:r>
      <w:r w:rsidRPr="001271EE">
        <w:rPr>
          <w:rFonts w:ascii="Times New Roman" w:hAnsi="Times New Roman"/>
          <w:sz w:val="24"/>
          <w:szCs w:val="24"/>
        </w:rPr>
        <w:t xml:space="preserve"> </w:t>
      </w:r>
      <w:r w:rsidR="00890C38">
        <w:rPr>
          <w:rFonts w:ascii="Times New Roman" w:hAnsi="Times New Roman"/>
          <w:sz w:val="24"/>
          <w:szCs w:val="24"/>
        </w:rPr>
        <w:t xml:space="preserve">na penúltima seção, </w:t>
      </w:r>
      <w:r w:rsidR="00FF76B7">
        <w:rPr>
          <w:rFonts w:ascii="Times New Roman" w:hAnsi="Times New Roman"/>
          <w:sz w:val="24"/>
          <w:szCs w:val="24"/>
        </w:rPr>
        <w:t>as</w:t>
      </w:r>
      <w:r w:rsidRPr="001271EE">
        <w:rPr>
          <w:rFonts w:ascii="Times New Roman" w:hAnsi="Times New Roman"/>
          <w:sz w:val="24"/>
          <w:szCs w:val="24"/>
        </w:rPr>
        <w:t xml:space="preserve"> considerações finais</w:t>
      </w:r>
      <w:r w:rsidR="00FF76B7">
        <w:rPr>
          <w:rFonts w:ascii="Times New Roman" w:hAnsi="Times New Roman"/>
          <w:sz w:val="24"/>
          <w:szCs w:val="24"/>
        </w:rPr>
        <w:t xml:space="preserve"> são </w:t>
      </w:r>
      <w:r w:rsidR="001759A8">
        <w:rPr>
          <w:rFonts w:ascii="Times New Roman" w:hAnsi="Times New Roman"/>
          <w:sz w:val="24"/>
          <w:szCs w:val="24"/>
        </w:rPr>
        <w:t>apresentadas</w:t>
      </w:r>
      <w:r w:rsidRPr="001271EE">
        <w:rPr>
          <w:rFonts w:ascii="Times New Roman" w:hAnsi="Times New Roman"/>
          <w:sz w:val="24"/>
          <w:szCs w:val="24"/>
        </w:rPr>
        <w:t>, seguida pelas referências bibliográficas.</w:t>
      </w:r>
    </w:p>
    <w:p w:rsidR="0022234B" w:rsidRDefault="0022234B" w:rsidP="0022234B">
      <w:pPr>
        <w:spacing w:after="0"/>
        <w:jc w:val="both"/>
        <w:rPr>
          <w:rFonts w:ascii="Times New Roman" w:hAnsi="Times New Roman"/>
          <w:sz w:val="24"/>
          <w:szCs w:val="24"/>
        </w:rPr>
      </w:pPr>
    </w:p>
    <w:p w:rsidR="0022234B" w:rsidRDefault="0022234B" w:rsidP="0022234B">
      <w:pPr>
        <w:spacing w:after="0"/>
        <w:jc w:val="both"/>
        <w:rPr>
          <w:rFonts w:ascii="Times New Roman" w:hAnsi="Times New Roman"/>
          <w:b/>
          <w:sz w:val="24"/>
          <w:szCs w:val="24"/>
        </w:rPr>
      </w:pPr>
      <w:r w:rsidRPr="0022234B">
        <w:rPr>
          <w:rFonts w:ascii="Times New Roman" w:hAnsi="Times New Roman"/>
          <w:b/>
          <w:sz w:val="24"/>
          <w:szCs w:val="24"/>
        </w:rPr>
        <w:t>2</w:t>
      </w:r>
      <w:r>
        <w:rPr>
          <w:rFonts w:ascii="Times New Roman" w:hAnsi="Times New Roman"/>
          <w:sz w:val="24"/>
          <w:szCs w:val="24"/>
        </w:rPr>
        <w:t xml:space="preserve">. </w:t>
      </w:r>
      <w:proofErr w:type="spellStart"/>
      <w:r w:rsidR="00C06070">
        <w:rPr>
          <w:rFonts w:ascii="Times New Roman" w:hAnsi="Times New Roman"/>
          <w:b/>
          <w:sz w:val="24"/>
          <w:szCs w:val="24"/>
        </w:rPr>
        <w:t>Quiralidade</w:t>
      </w:r>
      <w:proofErr w:type="spellEnd"/>
      <w:r w:rsidR="00C06070">
        <w:rPr>
          <w:rFonts w:ascii="Times New Roman" w:hAnsi="Times New Roman"/>
          <w:b/>
          <w:sz w:val="24"/>
          <w:szCs w:val="24"/>
        </w:rPr>
        <w:t xml:space="preserve"> e fármacos</w:t>
      </w:r>
    </w:p>
    <w:p w:rsidR="007112D1" w:rsidRPr="007112D1" w:rsidRDefault="007112D1" w:rsidP="0022234B">
      <w:pPr>
        <w:spacing w:after="0"/>
        <w:jc w:val="both"/>
        <w:rPr>
          <w:rFonts w:ascii="Times New Roman" w:hAnsi="Times New Roman"/>
          <w:sz w:val="24"/>
          <w:szCs w:val="24"/>
        </w:rPr>
      </w:pPr>
    </w:p>
    <w:p w:rsidR="009F3F59" w:rsidRPr="00005647" w:rsidRDefault="00C06070" w:rsidP="0022234B">
      <w:pPr>
        <w:spacing w:after="0"/>
        <w:ind w:firstLine="371"/>
        <w:jc w:val="both"/>
        <w:rPr>
          <w:rFonts w:ascii="Times New Roman" w:hAnsi="Times New Roman"/>
          <w:sz w:val="24"/>
          <w:szCs w:val="24"/>
        </w:rPr>
      </w:pPr>
      <w:r w:rsidRPr="009F3F59">
        <w:rPr>
          <w:rFonts w:ascii="Times New Roman" w:hAnsi="Times New Roman"/>
          <w:sz w:val="24"/>
          <w:szCs w:val="24"/>
        </w:rPr>
        <w:t xml:space="preserve">Os fármacos </w:t>
      </w:r>
      <w:proofErr w:type="spellStart"/>
      <w:r w:rsidR="00B82C2D" w:rsidRPr="009F3F59">
        <w:rPr>
          <w:rFonts w:ascii="Times New Roman" w:hAnsi="Times New Roman"/>
          <w:sz w:val="24"/>
          <w:szCs w:val="24"/>
        </w:rPr>
        <w:t>quirais</w:t>
      </w:r>
      <w:proofErr w:type="spellEnd"/>
      <w:r w:rsidR="00B82C2D" w:rsidRPr="009F3F59">
        <w:rPr>
          <w:rFonts w:ascii="Times New Roman" w:hAnsi="Times New Roman"/>
          <w:sz w:val="24"/>
          <w:szCs w:val="24"/>
        </w:rPr>
        <w:t xml:space="preserve"> </w:t>
      </w:r>
      <w:r w:rsidRPr="009F3F59">
        <w:rPr>
          <w:rFonts w:ascii="Times New Roman" w:hAnsi="Times New Roman"/>
          <w:sz w:val="24"/>
          <w:szCs w:val="24"/>
        </w:rPr>
        <w:t>a</w:t>
      </w:r>
      <w:r w:rsidR="008C4B5B" w:rsidRPr="009F3F59">
        <w:rPr>
          <w:rFonts w:ascii="Times New Roman" w:hAnsi="Times New Roman"/>
          <w:sz w:val="24"/>
          <w:szCs w:val="24"/>
        </w:rPr>
        <w:t>presentam relação direta com o efeito terapêutico no organismo. Assim</w:t>
      </w:r>
      <w:r w:rsidR="002652D7" w:rsidRPr="009F3F59">
        <w:rPr>
          <w:rFonts w:ascii="Times New Roman" w:hAnsi="Times New Roman"/>
          <w:sz w:val="24"/>
          <w:szCs w:val="24"/>
        </w:rPr>
        <w:t xml:space="preserve">, nos últimos anos, esta área tem se tornando cada vez mais atrativa e diversos avanços tecnológicos vêm possibilitando o seu desenvolvimento. Em 2001, </w:t>
      </w:r>
      <w:r w:rsidR="002E2F31" w:rsidRPr="009F3F59">
        <w:rPr>
          <w:rFonts w:ascii="Times New Roman" w:hAnsi="Times New Roman"/>
          <w:sz w:val="24"/>
          <w:szCs w:val="24"/>
        </w:rPr>
        <w:t xml:space="preserve">por exemplo, </w:t>
      </w:r>
      <w:r w:rsidR="002652D7" w:rsidRPr="009F3F59">
        <w:rPr>
          <w:rFonts w:ascii="Times New Roman" w:hAnsi="Times New Roman"/>
          <w:sz w:val="24"/>
          <w:szCs w:val="24"/>
        </w:rPr>
        <w:t xml:space="preserve">os pesquisadores William S. Knowles e K. Barry Sharpless nos Estados Unidos e Ryoji Noyori no Japão conquistaram o prêmio Nobel de Química por suas importantes contribuições no aperfeiçoamento e ampliação de técnicas de síntese assimétrica usando catalisadores </w:t>
      </w:r>
      <w:proofErr w:type="spellStart"/>
      <w:r w:rsidR="002652D7" w:rsidRPr="009F3F59">
        <w:rPr>
          <w:rFonts w:ascii="Times New Roman" w:hAnsi="Times New Roman"/>
          <w:sz w:val="24"/>
          <w:szCs w:val="24"/>
        </w:rPr>
        <w:t>quirais</w:t>
      </w:r>
      <w:proofErr w:type="spellEnd"/>
      <w:r w:rsidR="002652D7" w:rsidRPr="009F3F59">
        <w:rPr>
          <w:rFonts w:ascii="Times New Roman" w:hAnsi="Times New Roman"/>
          <w:sz w:val="24"/>
          <w:szCs w:val="24"/>
        </w:rPr>
        <w:t xml:space="preserve"> na produção de fármacos ou produtos químicos de maneira</w:t>
      </w:r>
      <w:r w:rsidR="00AF7726" w:rsidRPr="009F3F59">
        <w:rPr>
          <w:rFonts w:ascii="Times New Roman" w:hAnsi="Times New Roman"/>
          <w:sz w:val="24"/>
          <w:szCs w:val="24"/>
        </w:rPr>
        <w:t xml:space="preserve"> </w:t>
      </w:r>
      <w:proofErr w:type="spellStart"/>
      <w:r w:rsidR="00AF7726" w:rsidRPr="009F3F59">
        <w:rPr>
          <w:rFonts w:ascii="Times New Roman" w:hAnsi="Times New Roman"/>
          <w:sz w:val="24"/>
          <w:szCs w:val="24"/>
        </w:rPr>
        <w:t>enantiosseletiva</w:t>
      </w:r>
      <w:proofErr w:type="spellEnd"/>
      <w:r w:rsidR="00AF7726" w:rsidRPr="009F3F59">
        <w:rPr>
          <w:rFonts w:ascii="Times New Roman" w:hAnsi="Times New Roman"/>
          <w:sz w:val="24"/>
          <w:szCs w:val="24"/>
        </w:rPr>
        <w:t xml:space="preserve"> </w:t>
      </w:r>
      <w:r w:rsidR="004616DF" w:rsidRPr="009F3F59">
        <w:rPr>
          <w:rFonts w:ascii="Times New Roman" w:hAnsi="Times New Roman"/>
          <w:sz w:val="24"/>
          <w:szCs w:val="24"/>
        </w:rPr>
        <w:fldChar w:fldCharType="begin" w:fldLock="1"/>
      </w:r>
      <w:r w:rsidR="0012480B">
        <w:rPr>
          <w:rFonts w:ascii="Times New Roman" w:hAnsi="Times New Roman"/>
          <w:sz w:val="24"/>
          <w:szCs w:val="24"/>
        </w:rPr>
        <w:instrText>ADDIN CSL_CITATION { "citationItems" : [ { "id" : "ITEM-1", "itemData" : { "author" : [ { "dropping-particle" : "", "family" : "LOHRAY B.B.", "given" : "", "non-dropping-particle" : "", "parse-names" : false, "suffix" : "" } ], "container-title" : "Current Science", "id" : "ITEM-1", "issue" : "12", "issued" : { "date-parts" : [ [ "2001" ] ] }, "page" : "1519-1525", "title" : "Asymmetric catalysis \u2013 A novel chemistry to win the Nobel Prize", "type" : "article-journal", "volume" : "81" }, "uris" : [ "http://www.mendeley.com/documents/?uuid=09017fb9-0d26-325c-807f-ec4c82668734" ] }, { "id" : "ITEM-2", "itemData" : { "author" : [ { "dropping-particle" : "", "family" : "NGUYEN L. A.; HE H.; PHAM-HUY C.", "given" : "", "non-dropping-particle" : "", "parse-names" : false, "suffix" : "" } ], "container-title" : "International Journal of Biomedical Science", "id" : "ITEM-2", "issue" : "2", "issued" : { "date-parts" : [ [ "2006" ] ] }, "page" : "85-100", "title" : "Chiral Drugs: An Overview", "type" : "article-journal", "volume" : "2" }, "uris" : [ "http://www.mendeley.com/documents/?uuid=2d6a6488-b381-3cd9-b54e-1b12ea42da3e" ] }, { "id" : "ITEM-3", "itemData" : { "DOI" : "10.1016/j.biortech.2011.11.131", "ISBN" : "0960-8524; 1873-2976", "ISSN" : "09608524", "PMID" : "22230779", "abstract" : "Due to the growing demand of enantiomerically pure compounds, as well as the increasing strict safety, quality and environmentally requirements of industrial synthetic processes, the development of more sustainable, healthy and economically attractive strategies for the synthesis of chiral biologically active molecules is still an open challenge in the pharmaceutical industry. In this context, the biotransformations field has emerged as a real alternative to traditional synthetic routes, because of the exquisite chemo-, regio- and enantioselectivities commonly displayed by enzymes; thus, biocatalysis is becoming a widespread methodology for the synthesis of chiral compounds, not only at laboratory scale, but also at industrial scale. As hydrolases and oxido-reductases are the most employed enzymes, this review is focused on describing several industrial processes based on the use of these enzymes for obtaining chiral compounds useful for the pharmaceutical industry. ?? 2011 Elsevier Ltd.", "author" : [ { "dropping-particle" : "", "family" : "MU\u00d1OZ SOLANO", "given" : "D.", "non-dropping-particle" : "", "parse-names" : false, "suffix" : "" }, { "dropping-particle" : "", "family" : "HOYOS", "given" : "P.", "non-dropping-particle" : "", "parse-names" : false, "suffix" : "" }, { "dropping-particle" : "", "family" : "HERN\u00c1IZ", "given" : "M. J.", "non-dropping-particle" : "", "parse-names" : false, "suffix" : "" }, { "dropping-particle" : "", "family" : "ALC\u00c1NTARA", "given" : "A. R.", "non-dropping-particle" : "", "parse-names" : false, "suffix" : "" }, { "dropping-particle" : "", "family" : "S\u00c1NCHEZ-MONTERO", "given" : "J. M.", "non-dropping-particle" : "", "parse-names" : false, "suffix" : "" } ], "container-title" : "Bioresource Technology", "id" : "ITEM-3", "issued" : { "date-parts" : [ [ "2012" ] ] }, "title" : "Industrial biotransformations in the synthesis of building blocks leading to enantiopure drugs", "type" : "article" }, "uris" : [ "http://www.mendeley.com/documents/?uuid=efeb79cc-91fe-3cb2-a50e-a63038e34527" ] }, { "id" : "ITEM-4", "itemData" : { "DOI" : "10.1016/j.tibtech.2006.12.005", "ISBN" : "0167-7799", "ISSN" : "01677799", "PMID" : "17184862", "abstract" : "Biocatalysis is continuing to gain momentum and is now becoming a key component in the toolbox of the process chemist, with a place alongside chemocatalysis and chromatographic separations. The pharmaceutical industry demands a speed of development that must be on a parallel with conventional chemistry and high optical purity for complex compounds with multiple chiral centres. This review describes how these demands are being addressed to make biocatalysis successful, particularly by the use of micro-scale technology for high-speed catalyst screening and process development alongside discipline integration of biology and engineering with chemistry. Developments in recombinant technology will further expand the repertoire of biocatalysis in the coming years to new chemistries and enable catalyst design to fit the process. Further development of biocatalysis for green chemistry and high productivity processes can also be expected. ?? 2006 Elsevier Ltd. All rights reserved.", "author" : [ { "dropping-particle" : "", "family" : "POLLARD", "given" : "DAVID J.", "non-dropping-particle" : "", "parse-names" : false, "suffix" : "" }, { "dropping-particle" : "", "family" : "WOODLEY", "given" : "JOHN M.", "non-dropping-particle" : "", "parse-names" : false, "suffix" : "" } ], "container-title" : "Trends in Biotechnology", "id" : "ITEM-4", "issue" : "2", "issued" : { "date-parts" : [ [ "2007" ] ] }, "page" : "66-73", "title" : "Biocatalysis for pharmaceutical intermediates: the future is now", "type" : "article-journal", "volume" : "25" }, "uris" : [ "http://www.mendeley.com/documents/?uuid=dab1f54c-3e98-466f-92dd-ac4907e68a24" ] } ], "mendeley" : { "formattedCitation" : "(LOHRAY B.B., 2001; MU\u00d1OZ SOLANO, HOYOS, HERN\u00c1IZ, ALC\u00c1NTARA, &amp; S\u00c1NCHEZ-MONTERO, 2012; NGUYEN L. A.; HE H.; PHAM-HUY C., 2006; POLLARD &amp; WOODLEY, 2007)", "plainTextFormattedCitation" : "(LOHRAY B.B., 2001; MU\u00d1OZ SOLANO, HOYOS, HERN\u00c1IZ, ALC\u00c1NTARA, &amp; S\u00c1NCHEZ-MONTERO, 2012; NGUYEN L. A.; HE H.; PHAM-HUY C., 2006; POLLARD &amp; WOODLEY, 2007)", "previouslyFormattedCitation" : "(LOHRAY B.B., 2001; MU\u00d1OZ SOLANO, HOYOS, HERN\u00c1IZ, ALC\u00c1NTARA, &amp; S\u00c1NCHEZ-MONTERO, 2012; NGUYEN L. A.; HE H.; PHAM-HUY C., 2006; POLLARD &amp; WOODLEY, 2007)" }, "properties" : {  }, "schema" : "https://github.com/citation-style-language/schema/raw/master/csl-citation.json" }</w:instrText>
      </w:r>
      <w:r w:rsidR="004616DF" w:rsidRPr="009F3F59">
        <w:rPr>
          <w:rFonts w:ascii="Times New Roman" w:hAnsi="Times New Roman"/>
          <w:sz w:val="24"/>
          <w:szCs w:val="24"/>
        </w:rPr>
        <w:fldChar w:fldCharType="separate"/>
      </w:r>
      <w:r w:rsidR="007B187D" w:rsidRPr="007B187D">
        <w:rPr>
          <w:rFonts w:ascii="Times New Roman" w:hAnsi="Times New Roman"/>
          <w:noProof/>
          <w:sz w:val="24"/>
          <w:szCs w:val="24"/>
        </w:rPr>
        <w:t>(LOHRAY B.B., 2001; MUÑOZ SOLANO, HOYOS, HERNÁIZ, ALCÁNTARA, &amp; SÁNCHEZ-MONTERO, 2012; NGUYEN L. A.; HE H.; PHAM-HUY C., 2006; POLLARD &amp; WOODLEY, 2007)</w:t>
      </w:r>
      <w:r w:rsidR="004616DF" w:rsidRPr="009F3F59">
        <w:rPr>
          <w:rFonts w:ascii="Times New Roman" w:hAnsi="Times New Roman"/>
          <w:sz w:val="24"/>
          <w:szCs w:val="24"/>
        </w:rPr>
        <w:fldChar w:fldCharType="end"/>
      </w:r>
      <w:r w:rsidR="00AF7726" w:rsidRPr="009F3F59">
        <w:rPr>
          <w:rFonts w:ascii="Times New Roman" w:hAnsi="Times New Roman"/>
          <w:sz w:val="24"/>
          <w:szCs w:val="24"/>
        </w:rPr>
        <w:t>.</w:t>
      </w:r>
    </w:p>
    <w:p w:rsidR="0022234B" w:rsidRDefault="0029400E" w:rsidP="0022234B">
      <w:pPr>
        <w:spacing w:after="0"/>
        <w:ind w:firstLine="371"/>
        <w:jc w:val="both"/>
        <w:rPr>
          <w:rFonts w:ascii="Times New Roman" w:hAnsi="Times New Roman"/>
          <w:sz w:val="24"/>
          <w:szCs w:val="24"/>
        </w:rPr>
      </w:pPr>
      <w:r w:rsidRPr="009F3F59">
        <w:rPr>
          <w:rFonts w:ascii="Times New Roman" w:hAnsi="Times New Roman"/>
          <w:sz w:val="24"/>
          <w:szCs w:val="24"/>
        </w:rPr>
        <w:t>Dados referentes aos fármacos aprovados pelo FDA (</w:t>
      </w:r>
      <w:proofErr w:type="spellStart"/>
      <w:r w:rsidRPr="009F3F59">
        <w:rPr>
          <w:rFonts w:ascii="Times New Roman" w:hAnsi="Times New Roman"/>
          <w:sz w:val="24"/>
          <w:szCs w:val="24"/>
        </w:rPr>
        <w:t>Food</w:t>
      </w:r>
      <w:proofErr w:type="spellEnd"/>
      <w:r w:rsidRPr="009F3F59">
        <w:rPr>
          <w:rFonts w:ascii="Times New Roman" w:hAnsi="Times New Roman"/>
          <w:sz w:val="24"/>
          <w:szCs w:val="24"/>
        </w:rPr>
        <w:t xml:space="preserve"> </w:t>
      </w:r>
      <w:proofErr w:type="spellStart"/>
      <w:r w:rsidRPr="009F3F59">
        <w:rPr>
          <w:rFonts w:ascii="Times New Roman" w:hAnsi="Times New Roman"/>
          <w:sz w:val="24"/>
          <w:szCs w:val="24"/>
        </w:rPr>
        <w:t>and</w:t>
      </w:r>
      <w:proofErr w:type="spellEnd"/>
      <w:r w:rsidRPr="009F3F59">
        <w:rPr>
          <w:rFonts w:ascii="Times New Roman" w:hAnsi="Times New Roman"/>
          <w:sz w:val="24"/>
          <w:szCs w:val="24"/>
        </w:rPr>
        <w:t xml:space="preserve"> </w:t>
      </w:r>
      <w:proofErr w:type="spellStart"/>
      <w:r w:rsidRPr="009F3F59">
        <w:rPr>
          <w:rFonts w:ascii="Times New Roman" w:hAnsi="Times New Roman"/>
          <w:sz w:val="24"/>
          <w:szCs w:val="24"/>
        </w:rPr>
        <w:t>Drug</w:t>
      </w:r>
      <w:proofErr w:type="spellEnd"/>
      <w:r w:rsidRPr="009F3F59">
        <w:rPr>
          <w:rFonts w:ascii="Times New Roman" w:hAnsi="Times New Roman"/>
          <w:sz w:val="24"/>
          <w:szCs w:val="24"/>
        </w:rPr>
        <w:t xml:space="preserve"> </w:t>
      </w:r>
      <w:proofErr w:type="spellStart"/>
      <w:r w:rsidRPr="009F3F59">
        <w:rPr>
          <w:rFonts w:ascii="Times New Roman" w:hAnsi="Times New Roman"/>
          <w:sz w:val="24"/>
          <w:szCs w:val="24"/>
        </w:rPr>
        <w:t>Administration</w:t>
      </w:r>
      <w:proofErr w:type="spellEnd"/>
      <w:r w:rsidRPr="009F3F59">
        <w:rPr>
          <w:rFonts w:ascii="Times New Roman" w:hAnsi="Times New Roman"/>
          <w:sz w:val="24"/>
          <w:szCs w:val="24"/>
        </w:rPr>
        <w:t xml:space="preserve">) de 1992 a 2008 (Figura 1) refletem o aumento de interesse na produção de substâncias </w:t>
      </w:r>
      <w:proofErr w:type="spellStart"/>
      <w:r w:rsidRPr="009F3F59">
        <w:rPr>
          <w:rFonts w:ascii="Times New Roman" w:hAnsi="Times New Roman"/>
          <w:sz w:val="24"/>
          <w:szCs w:val="24"/>
        </w:rPr>
        <w:t>enantiopuras</w:t>
      </w:r>
      <w:proofErr w:type="spellEnd"/>
      <w:r w:rsidRPr="009F3F59">
        <w:rPr>
          <w:rFonts w:ascii="Times New Roman" w:hAnsi="Times New Roman"/>
          <w:sz w:val="24"/>
          <w:szCs w:val="24"/>
        </w:rPr>
        <w:t xml:space="preserve"> tanto pela comunidade científica quanto pela indústria farmacêutica. Enquanto em 1992 </w:t>
      </w:r>
      <w:proofErr w:type="gramStart"/>
      <w:r w:rsidRPr="009F3F59">
        <w:rPr>
          <w:rFonts w:ascii="Times New Roman" w:hAnsi="Times New Roman"/>
          <w:sz w:val="24"/>
          <w:szCs w:val="24"/>
        </w:rPr>
        <w:t>cerca de 21</w:t>
      </w:r>
      <w:proofErr w:type="gramEnd"/>
      <w:r w:rsidRPr="009F3F59">
        <w:rPr>
          <w:rFonts w:ascii="Times New Roman" w:hAnsi="Times New Roman"/>
          <w:sz w:val="24"/>
          <w:szCs w:val="24"/>
        </w:rPr>
        <w:t xml:space="preserve">% dos fármacos eram aprovados em sua forma racêmica, em 2008 esse número reduziu-se para 5%. Por outro lado, no mesmo período, a aprovação de fármacos </w:t>
      </w:r>
      <w:proofErr w:type="spellStart"/>
      <w:r w:rsidRPr="009F3F59">
        <w:rPr>
          <w:rFonts w:ascii="Times New Roman" w:hAnsi="Times New Roman"/>
          <w:sz w:val="24"/>
          <w:szCs w:val="24"/>
        </w:rPr>
        <w:t>quirais</w:t>
      </w:r>
      <w:proofErr w:type="spellEnd"/>
      <w:r w:rsidRPr="009F3F59">
        <w:rPr>
          <w:rFonts w:ascii="Times New Roman" w:hAnsi="Times New Roman"/>
          <w:sz w:val="24"/>
          <w:szCs w:val="24"/>
        </w:rPr>
        <w:t xml:space="preserve"> opticamente puros aumentou de 44% em 1992 para 63% em </w:t>
      </w:r>
      <w:proofErr w:type="gramStart"/>
      <w:r w:rsidRPr="009F3F59">
        <w:rPr>
          <w:rFonts w:ascii="Times New Roman" w:hAnsi="Times New Roman"/>
          <w:sz w:val="24"/>
          <w:szCs w:val="24"/>
        </w:rPr>
        <w:t>2008</w:t>
      </w:r>
      <w:proofErr w:type="gramEnd"/>
      <w:r w:rsidR="00660808">
        <w:rPr>
          <w:rFonts w:ascii="Times New Roman" w:hAnsi="Times New Roman"/>
          <w:sz w:val="24"/>
          <w:szCs w:val="24"/>
        </w:rPr>
        <w:t xml:space="preserve"> </w:t>
      </w:r>
      <w:r w:rsidR="004616DF">
        <w:rPr>
          <w:rFonts w:ascii="Times New Roman" w:hAnsi="Times New Roman"/>
          <w:sz w:val="24"/>
          <w:szCs w:val="24"/>
        </w:rPr>
        <w:fldChar w:fldCharType="begin" w:fldLock="1"/>
      </w:r>
      <w:r w:rsidR="00BA019F">
        <w:rPr>
          <w:rFonts w:ascii="Times New Roman" w:hAnsi="Times New Roman"/>
          <w:sz w:val="24"/>
          <w:szCs w:val="24"/>
        </w:rPr>
        <w:instrText>ADDIN CSL_CITATION { "citationItems" : [ { "id" : "ITEM-1", "itemData" : { "DOI" : "10.1007/128_2006_072", "ISBN" : "3540463178", "ISSN" : "03401022", "PMID" : "23605355", "abstract" : "Before 1985, most chiral drugs newly introduced annually to the market were racemates and only three to five drugswere launched yearly as single enantiomers. Since then,the situation has changed dramatically, with racemates being introduced only rarely to the market. In 2004,all the new synthetic drugs (13 in the world) were launched as single enantiomers.This article summarizes the change of chiral drugs in the last two decades from racemates to singleenantiomers and outlines the structural features of these new drugs and the manufacturing technologies appliedto introduce chirality to them - chirality pool, various types of resolutions and asymmetric syntheses,of which the new technologies developed recently are highlighted.", "author" : [ { "dropping-particle" : "", "family" : "MURAKAMI", "given" : "HISAMICHI", "non-dropping-particle" : "", "parse-names" : false, "suffix" : "" } ], "container-title" : "Topics in Current Chemistry", "id" : "ITEM-1", "issue" : "November 2006", "issued" : { "date-parts" : [ [ "2006" ] ] }, "page" : "273-299", "title" : "From racemates to single enantiomers - Chiral synthetic drugs over the last 20 years", "type" : "article-journal", "volume" : "269" }, "uris" : [ "http://www.mendeley.com/documents/?uuid=aec61193-ea0b-4a94-9f5d-a13b6a89167b" ] }, { "id" : "ITEM-2", "itemData" : { "ISBN" : "978-0-470-58720-1", "author" : [ { "dropping-particle" : "", "family" : "LIN, G.-Q.; YOU, Q.-D.; CHENG", "given" : "J.-F.", "non-dropping-particle" : "", "parse-names" : false, "suffix" : "" } ], "edition" : "1\u00aa", "editor" : [ { "dropping-particle" : "", "family" : "LIN, G.-Q.; YOU, Q.-D.; CHENG", "given" : "J.-F.", "non-dropping-particle" : "", "parse-names" : false, "suffix" : "" } ], "id" : "ITEM-2", "issued" : { "date-parts" : [ [ "2011" ] ] }, "publisher" : "John Wiley &amp; Sons", "publisher-place" : "New Jersey", "title" : "Chiral Drugs: Chemistry and Biological Action", "type" : "book" }, "uris" : [ "http://www.mendeley.com/documents/?uuid=8455d60c-64ff-4295-b651-4ef6334dc038" ] } ], "mendeley" : { "formattedCitation" : "(LIN, G.-Q.; YOU, Q.-D.; CHENG, 2011; MURAKAMI, 2006)", "plainTextFormattedCitation" : "(LIN, G.-Q.; YOU, Q.-D.; CHENG, 2011; MURAKAMI, 2006)", "previouslyFormattedCitation" : "(LIN, G.-Q.; YOU, Q.-D.; CHENG, 2011; MURAKAMI, 2006)" }, "properties" : {  }, "schema" : "https://github.com/citation-style-language/schema/raw/master/csl-citation.json" }</w:instrText>
      </w:r>
      <w:r w:rsidR="004616DF">
        <w:rPr>
          <w:rFonts w:ascii="Times New Roman" w:hAnsi="Times New Roman"/>
          <w:sz w:val="24"/>
          <w:szCs w:val="24"/>
        </w:rPr>
        <w:fldChar w:fldCharType="separate"/>
      </w:r>
      <w:r w:rsidR="00BA019F" w:rsidRPr="00BA019F">
        <w:rPr>
          <w:rFonts w:ascii="Times New Roman" w:hAnsi="Times New Roman"/>
          <w:noProof/>
          <w:sz w:val="24"/>
          <w:szCs w:val="24"/>
        </w:rPr>
        <w:t>(LIN, G.-Q.; YOU, Q.-D.; CHENG, 2011; MURAKAMI, 2006)</w:t>
      </w:r>
      <w:r w:rsidR="004616DF">
        <w:rPr>
          <w:rFonts w:ascii="Times New Roman" w:hAnsi="Times New Roman"/>
          <w:sz w:val="24"/>
          <w:szCs w:val="24"/>
        </w:rPr>
        <w:fldChar w:fldCharType="end"/>
      </w:r>
      <w:r w:rsidRPr="009F3F59">
        <w:rPr>
          <w:rFonts w:ascii="Times New Roman" w:hAnsi="Times New Roman"/>
          <w:sz w:val="24"/>
          <w:szCs w:val="24"/>
        </w:rPr>
        <w:t>.</w:t>
      </w:r>
    </w:p>
    <w:p w:rsidR="007112D1" w:rsidRPr="009F3F59" w:rsidRDefault="007112D1" w:rsidP="0022234B">
      <w:pPr>
        <w:spacing w:after="0"/>
        <w:ind w:firstLine="371"/>
        <w:jc w:val="both"/>
        <w:rPr>
          <w:rFonts w:ascii="Times New Roman" w:hAnsi="Times New Roman"/>
          <w:sz w:val="24"/>
          <w:szCs w:val="24"/>
        </w:rPr>
      </w:pPr>
    </w:p>
    <w:p w:rsidR="00850C73" w:rsidRPr="009F3F59" w:rsidRDefault="00895B8E" w:rsidP="007112D1">
      <w:pPr>
        <w:spacing w:after="0"/>
        <w:jc w:val="center"/>
        <w:rPr>
          <w:rFonts w:ascii="Times New Roman" w:hAnsi="Times New Roman"/>
          <w:sz w:val="24"/>
          <w:szCs w:val="24"/>
        </w:rPr>
      </w:pPr>
      <w:r>
        <w:rPr>
          <w:rFonts w:ascii="Times New Roman" w:hAnsi="Times New Roman"/>
          <w:noProof/>
          <w:sz w:val="24"/>
          <w:szCs w:val="24"/>
          <w:lang w:eastAsia="pt-BR"/>
        </w:rPr>
        <w:drawing>
          <wp:inline distT="0" distB="0" distL="0" distR="0" wp14:anchorId="6225E9C8" wp14:editId="638698E9">
            <wp:extent cx="5810250" cy="3038475"/>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rotWithShape="1">
                    <a:blip r:embed="rId12" cstate="print"/>
                    <a:srcRect l="-634" t="-1217" r="-2701" b="-118"/>
                    <a:stretch/>
                  </pic:blipFill>
                  <pic:spPr bwMode="auto">
                    <a:xfrm>
                      <a:off x="0" y="0"/>
                      <a:ext cx="5810250" cy="3038475"/>
                    </a:xfrm>
                    <a:prstGeom prst="rect">
                      <a:avLst/>
                    </a:prstGeom>
                    <a:noFill/>
                    <a:ln>
                      <a:noFill/>
                    </a:ln>
                    <a:extLst>
                      <a:ext uri="{53640926-AAD7-44D8-BBD7-CCE9431645EC}">
                        <a14:shadowObscured xmlns:a14="http://schemas.microsoft.com/office/drawing/2010/main"/>
                      </a:ext>
                    </a:extLst>
                  </pic:spPr>
                </pic:pic>
              </a:graphicData>
            </a:graphic>
          </wp:inline>
        </w:drawing>
      </w:r>
    </w:p>
    <w:p w:rsidR="0029400E" w:rsidRDefault="0029400E" w:rsidP="0022234B">
      <w:pPr>
        <w:pStyle w:val="Legenda"/>
        <w:spacing w:after="0"/>
        <w:ind w:firstLine="369"/>
        <w:jc w:val="center"/>
        <w:rPr>
          <w:rFonts w:ascii="Times New Roman" w:hAnsi="Times New Roman"/>
          <w:b w:val="0"/>
          <w:sz w:val="24"/>
          <w:szCs w:val="24"/>
        </w:rPr>
      </w:pPr>
      <w:r w:rsidRPr="009F3F59">
        <w:rPr>
          <w:rFonts w:ascii="Times New Roman" w:hAnsi="Times New Roman"/>
          <w:sz w:val="24"/>
          <w:szCs w:val="24"/>
        </w:rPr>
        <w:t xml:space="preserve">Figura </w:t>
      </w:r>
      <w:r w:rsidR="004616DF" w:rsidRPr="009F3F59">
        <w:rPr>
          <w:rFonts w:ascii="Times New Roman" w:hAnsi="Times New Roman"/>
          <w:sz w:val="24"/>
          <w:szCs w:val="24"/>
        </w:rPr>
        <w:fldChar w:fldCharType="begin"/>
      </w:r>
      <w:r w:rsidRPr="009F3F59">
        <w:rPr>
          <w:rFonts w:ascii="Times New Roman" w:hAnsi="Times New Roman"/>
          <w:sz w:val="24"/>
          <w:szCs w:val="24"/>
        </w:rPr>
        <w:instrText xml:space="preserve"> SEQ Figura \* ARABIC </w:instrText>
      </w:r>
      <w:r w:rsidR="004616DF" w:rsidRPr="009F3F59">
        <w:rPr>
          <w:rFonts w:ascii="Times New Roman" w:hAnsi="Times New Roman"/>
          <w:sz w:val="24"/>
          <w:szCs w:val="24"/>
        </w:rPr>
        <w:fldChar w:fldCharType="separate"/>
      </w:r>
      <w:r w:rsidR="008C049C">
        <w:rPr>
          <w:rFonts w:ascii="Times New Roman" w:hAnsi="Times New Roman"/>
          <w:noProof/>
          <w:sz w:val="24"/>
          <w:szCs w:val="24"/>
        </w:rPr>
        <w:t>2</w:t>
      </w:r>
      <w:r w:rsidR="004616DF" w:rsidRPr="009F3F59">
        <w:rPr>
          <w:rFonts w:ascii="Times New Roman" w:hAnsi="Times New Roman"/>
          <w:sz w:val="24"/>
          <w:szCs w:val="24"/>
        </w:rPr>
        <w:fldChar w:fldCharType="end"/>
      </w:r>
      <w:r w:rsidRPr="009F3F59">
        <w:rPr>
          <w:rFonts w:ascii="Times New Roman" w:hAnsi="Times New Roman"/>
          <w:sz w:val="24"/>
          <w:szCs w:val="24"/>
        </w:rPr>
        <w:t xml:space="preserve">. </w:t>
      </w:r>
      <w:r w:rsidRPr="009F3F59">
        <w:rPr>
          <w:rFonts w:ascii="Times New Roman" w:hAnsi="Times New Roman"/>
          <w:b w:val="0"/>
          <w:sz w:val="24"/>
          <w:szCs w:val="24"/>
        </w:rPr>
        <w:t xml:space="preserve">Distribuição anual de fármacos aprovados pelo FDA de 1992 a 2008. </w:t>
      </w:r>
    </w:p>
    <w:p w:rsidR="007112D1" w:rsidRPr="007112D1" w:rsidRDefault="007112D1" w:rsidP="007112D1">
      <w:pPr>
        <w:spacing w:after="0"/>
      </w:pPr>
    </w:p>
    <w:p w:rsidR="00850C73" w:rsidRDefault="0029400E" w:rsidP="007112D1">
      <w:pPr>
        <w:pStyle w:val="Default"/>
        <w:spacing w:line="276" w:lineRule="auto"/>
        <w:ind w:firstLine="369"/>
        <w:jc w:val="both"/>
      </w:pPr>
      <w:r w:rsidRPr="009F3F59">
        <w:t>Nesse sentido, informações publicadas r</w:t>
      </w:r>
      <w:r w:rsidR="00BA019F">
        <w:t xml:space="preserve">ecentemente por Bronson </w:t>
      </w:r>
      <w:proofErr w:type="gramStart"/>
      <w:r w:rsidR="00BA019F">
        <w:t>et</w:t>
      </w:r>
      <w:proofErr w:type="gramEnd"/>
      <w:r w:rsidR="00BA019F">
        <w:t xml:space="preserve"> al. </w:t>
      </w:r>
      <w:r w:rsidR="00BA019F">
        <w:fldChar w:fldCharType="begin" w:fldLock="1"/>
      </w:r>
      <w:r w:rsidR="00BA019F">
        <w:instrText>ADDIN CSL_CITATION { "citationItems" : [ { "id" : "ITEM-1", "itemData" : { "ISBN" : "9780124171503", "author" : [ { "dropping-particle" : "", "family" : "BRONSON", "given" : "JOANNE", "non-dropping-particle" : "", "parse-names" : false, "suffix" : "" }, { "dropping-particle" : "", "family" : "BLACK", "given" : "AMELIA", "non-dropping-particle" : "", "parse-names" : false, "suffix" : "" }, { "dropping-particle" : "", "family" : "DHAR", "given" : "T G MURALI", "non-dropping-particle" : "", "parse-names" : false, "suffix" : "" }, { "dropping-particle" : "", "family" : "ELLSWORTH", "given" : "BRUCE A", "non-dropping-particle" : "", "parse-names" : false, "suffix" : "" }, { "dropping-particle" : "", "family" : "MERRIT", "given" : "J ROBERT", "non-dropping-particle" : "", "parse-names" : false, "suffix" : "" } ], "id" : "ITEM-1", "issued" : { "date-parts" : [ [ "2013" ] ] }, "number-of-pages" : "471-546", "title" : "To Market , To Market \u2014 2012", "type" : "book", "volume" : "48" }, "uris" : [ "http://www.mendeley.com/documents/?uuid=f0aef51b-1dcf-4d50-804e-e23f2be38e75" ] } ], "mendeley" : { "formattedCitation" : "(BRONSON, BLACK, DHAR, ELLSWORTH, &amp; MERRIT, 2013)", "plainTextFormattedCitation" : "(BRONSON, BLACK, DHAR, ELLSWORTH, &amp; MERRIT, 2013)", "previouslyFormattedCitation" : "(BRONSON, BLACK, DHAR, ELLSWORTH, &amp; MERRIT, 2013)" }, "properties" : {  }, "schema" : "https://github.com/citation-style-language/schema/raw/master/csl-citation.json" }</w:instrText>
      </w:r>
      <w:r w:rsidR="00BA019F">
        <w:fldChar w:fldCharType="separate"/>
      </w:r>
      <w:r w:rsidR="00BA019F" w:rsidRPr="00BA019F">
        <w:rPr>
          <w:noProof/>
        </w:rPr>
        <w:t>(BRONSON, BLACK, DHAR, ELLSWORTH, &amp; MERRIT, 2013)</w:t>
      </w:r>
      <w:r w:rsidR="00BA019F">
        <w:fldChar w:fldCharType="end"/>
      </w:r>
      <w:r w:rsidRPr="009F3F59">
        <w:t xml:space="preserve">confirmam o empenho na produção de compostos opticamente ativos. Pode-se observar que </w:t>
      </w:r>
      <w:proofErr w:type="gramStart"/>
      <w:r w:rsidRPr="009F3F59">
        <w:t>cerca de 57</w:t>
      </w:r>
      <w:proofErr w:type="gramEnd"/>
      <w:r w:rsidRPr="009F3F59">
        <w:t xml:space="preserve">% dos fármacos aprovados pelo FDA em 2012 foram </w:t>
      </w:r>
      <w:proofErr w:type="spellStart"/>
      <w:r w:rsidRPr="009F3F59">
        <w:t>enantiômeros</w:t>
      </w:r>
      <w:proofErr w:type="spellEnd"/>
      <w:r w:rsidRPr="009F3F59">
        <w:t xml:space="preserve"> puros e apenas 3% na forma de </w:t>
      </w:r>
      <w:proofErr w:type="spellStart"/>
      <w:r w:rsidRPr="009F3F59">
        <w:t>racemato</w:t>
      </w:r>
      <w:proofErr w:type="spellEnd"/>
      <w:r w:rsidRPr="009F3F59">
        <w:t xml:space="preserve"> (Figura 2). </w:t>
      </w:r>
    </w:p>
    <w:p w:rsidR="0029400E" w:rsidRPr="009F3F59" w:rsidRDefault="00895B8E" w:rsidP="0022234B">
      <w:pPr>
        <w:pStyle w:val="Default"/>
        <w:spacing w:line="276" w:lineRule="auto"/>
        <w:ind w:firstLine="369"/>
        <w:jc w:val="center"/>
      </w:pPr>
      <w:r>
        <w:rPr>
          <w:noProof/>
        </w:rPr>
        <w:lastRenderedPageBreak/>
        <w:drawing>
          <wp:inline distT="0" distB="0" distL="0" distR="0" wp14:anchorId="1EC72CF5" wp14:editId="5A1480D9">
            <wp:extent cx="3600450" cy="1676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srcRect t="4593" b="5565"/>
                    <a:stretch/>
                  </pic:blipFill>
                  <pic:spPr bwMode="auto">
                    <a:xfrm>
                      <a:off x="0" y="0"/>
                      <a:ext cx="3600450" cy="1676400"/>
                    </a:xfrm>
                    <a:prstGeom prst="rect">
                      <a:avLst/>
                    </a:prstGeom>
                    <a:noFill/>
                    <a:ln>
                      <a:noFill/>
                    </a:ln>
                    <a:extLst>
                      <a:ext uri="{53640926-AAD7-44D8-BBD7-CCE9431645EC}">
                        <a14:shadowObscured xmlns:a14="http://schemas.microsoft.com/office/drawing/2010/main"/>
                      </a:ext>
                    </a:extLst>
                  </pic:spPr>
                </pic:pic>
              </a:graphicData>
            </a:graphic>
          </wp:inline>
        </w:drawing>
      </w:r>
    </w:p>
    <w:p w:rsidR="0029400E" w:rsidRDefault="0029400E" w:rsidP="0022234B">
      <w:pPr>
        <w:pStyle w:val="Legenda"/>
        <w:spacing w:after="0"/>
        <w:ind w:firstLine="369"/>
        <w:jc w:val="center"/>
        <w:rPr>
          <w:rFonts w:ascii="Times New Roman" w:hAnsi="Times New Roman"/>
          <w:b w:val="0"/>
          <w:sz w:val="24"/>
          <w:szCs w:val="24"/>
        </w:rPr>
      </w:pPr>
      <w:r w:rsidRPr="009F3F59">
        <w:rPr>
          <w:rFonts w:ascii="Times New Roman" w:hAnsi="Times New Roman"/>
          <w:sz w:val="24"/>
          <w:szCs w:val="24"/>
        </w:rPr>
        <w:t xml:space="preserve">Figura </w:t>
      </w:r>
      <w:r w:rsidR="004616DF" w:rsidRPr="009F3F59">
        <w:rPr>
          <w:rFonts w:ascii="Times New Roman" w:hAnsi="Times New Roman"/>
          <w:sz w:val="24"/>
          <w:szCs w:val="24"/>
        </w:rPr>
        <w:fldChar w:fldCharType="begin"/>
      </w:r>
      <w:r w:rsidRPr="009F3F59">
        <w:rPr>
          <w:rFonts w:ascii="Times New Roman" w:hAnsi="Times New Roman"/>
          <w:sz w:val="24"/>
          <w:szCs w:val="24"/>
        </w:rPr>
        <w:instrText xml:space="preserve"> SEQ Figura \* ARABIC </w:instrText>
      </w:r>
      <w:r w:rsidR="004616DF" w:rsidRPr="009F3F59">
        <w:rPr>
          <w:rFonts w:ascii="Times New Roman" w:hAnsi="Times New Roman"/>
          <w:sz w:val="24"/>
          <w:szCs w:val="24"/>
        </w:rPr>
        <w:fldChar w:fldCharType="separate"/>
      </w:r>
      <w:r w:rsidR="008C049C">
        <w:rPr>
          <w:rFonts w:ascii="Times New Roman" w:hAnsi="Times New Roman"/>
          <w:noProof/>
          <w:sz w:val="24"/>
          <w:szCs w:val="24"/>
        </w:rPr>
        <w:t>3</w:t>
      </w:r>
      <w:r w:rsidR="004616DF" w:rsidRPr="009F3F59">
        <w:rPr>
          <w:rFonts w:ascii="Times New Roman" w:hAnsi="Times New Roman"/>
          <w:sz w:val="24"/>
          <w:szCs w:val="24"/>
        </w:rPr>
        <w:fldChar w:fldCharType="end"/>
      </w:r>
      <w:r w:rsidRPr="009F3F59">
        <w:rPr>
          <w:rFonts w:ascii="Times New Roman" w:hAnsi="Times New Roman"/>
          <w:sz w:val="24"/>
          <w:szCs w:val="24"/>
        </w:rPr>
        <w:t xml:space="preserve">. </w:t>
      </w:r>
      <w:r w:rsidRPr="009F3F59">
        <w:rPr>
          <w:rFonts w:ascii="Times New Roman" w:hAnsi="Times New Roman"/>
          <w:b w:val="0"/>
          <w:sz w:val="24"/>
          <w:szCs w:val="24"/>
        </w:rPr>
        <w:t>Fármacos aprovados pelo FDA em 2012</w:t>
      </w:r>
      <w:r w:rsidRPr="00DF3DA7">
        <w:rPr>
          <w:rFonts w:ascii="Times New Roman" w:hAnsi="Times New Roman"/>
          <w:b w:val="0"/>
          <w:sz w:val="24"/>
          <w:szCs w:val="24"/>
        </w:rPr>
        <w:t>. Fonte:</w:t>
      </w:r>
      <w:r w:rsidR="00BA019F">
        <w:rPr>
          <w:rFonts w:ascii="Times New Roman" w:hAnsi="Times New Roman"/>
          <w:b w:val="0"/>
          <w:sz w:val="24"/>
          <w:szCs w:val="24"/>
        </w:rPr>
        <w:t xml:space="preserve"> </w:t>
      </w:r>
      <w:r w:rsidR="00BA019F">
        <w:rPr>
          <w:rFonts w:ascii="Times New Roman" w:hAnsi="Times New Roman"/>
          <w:b w:val="0"/>
          <w:sz w:val="24"/>
          <w:szCs w:val="24"/>
        </w:rPr>
        <w:fldChar w:fldCharType="begin" w:fldLock="1"/>
      </w:r>
      <w:r w:rsidR="00BA019F">
        <w:rPr>
          <w:rFonts w:ascii="Times New Roman" w:hAnsi="Times New Roman"/>
          <w:b w:val="0"/>
          <w:sz w:val="24"/>
          <w:szCs w:val="24"/>
        </w:rPr>
        <w:instrText>ADDIN CSL_CITATION { "citationItems" : [ { "id" : "ITEM-1", "itemData" : { "ISBN" : "9780124171503", "author" : [ { "dropping-particle" : "", "family" : "BRONSON", "given" : "JOANNE", "non-dropping-particle" : "", "parse-names" : false, "suffix" : "" }, { "dropping-particle" : "", "family" : "BLACK", "given" : "AMELIA", "non-dropping-particle" : "", "parse-names" : false, "suffix" : "" }, { "dropping-particle" : "", "family" : "DHAR", "given" : "T G MURALI", "non-dropping-particle" : "", "parse-names" : false, "suffix" : "" }, { "dropping-particle" : "", "family" : "ELLSWORTH", "given" : "BRUCE A", "non-dropping-particle" : "", "parse-names" : false, "suffix" : "" }, { "dropping-particle" : "", "family" : "MERRIT", "given" : "J ROBERT", "non-dropping-particle" : "", "parse-names" : false, "suffix" : "" } ], "id" : "ITEM-1", "issued" : { "date-parts" : [ [ "2013" ] ] }, "number-of-pages" : "471-546", "title" : "To Market , To Market \u2014 2012", "type" : "book", "volume" : "48" }, "uris" : [ "http://www.mendeley.com/documents/?uuid=f0aef51b-1dcf-4d50-804e-e23f2be38e75" ] } ], "mendeley" : { "formattedCitation" : "(BRONSON et al., 2013)", "plainTextFormattedCitation" : "(BRONSON et al., 2013)", "previouslyFormattedCitation" : "(BRONSON et al., 2013)" }, "properties" : {  }, "schema" : "https://github.com/citation-style-language/schema/raw/master/csl-citation.json" }</w:instrText>
      </w:r>
      <w:r w:rsidR="00BA019F">
        <w:rPr>
          <w:rFonts w:ascii="Times New Roman" w:hAnsi="Times New Roman"/>
          <w:b w:val="0"/>
          <w:sz w:val="24"/>
          <w:szCs w:val="24"/>
        </w:rPr>
        <w:fldChar w:fldCharType="separate"/>
      </w:r>
      <w:r w:rsidR="00BA019F" w:rsidRPr="00BA019F">
        <w:rPr>
          <w:rFonts w:ascii="Times New Roman" w:hAnsi="Times New Roman"/>
          <w:b w:val="0"/>
          <w:noProof/>
          <w:sz w:val="24"/>
          <w:szCs w:val="24"/>
        </w:rPr>
        <w:t>(BRONSON et al., 2013)</w:t>
      </w:r>
      <w:r w:rsidR="00BA019F">
        <w:rPr>
          <w:rFonts w:ascii="Times New Roman" w:hAnsi="Times New Roman"/>
          <w:b w:val="0"/>
          <w:sz w:val="24"/>
          <w:szCs w:val="24"/>
        </w:rPr>
        <w:fldChar w:fldCharType="end"/>
      </w:r>
      <w:r w:rsidRPr="00DF3DA7">
        <w:rPr>
          <w:rFonts w:ascii="Times New Roman" w:hAnsi="Times New Roman"/>
          <w:b w:val="0"/>
          <w:sz w:val="24"/>
          <w:szCs w:val="24"/>
        </w:rPr>
        <w:t>.</w:t>
      </w:r>
    </w:p>
    <w:p w:rsidR="0022234B" w:rsidRPr="0022234B" w:rsidRDefault="0022234B" w:rsidP="007112D1">
      <w:pPr>
        <w:spacing w:after="0"/>
      </w:pPr>
    </w:p>
    <w:p w:rsidR="0022234B" w:rsidRDefault="0029400E" w:rsidP="007112D1">
      <w:pPr>
        <w:spacing w:after="0"/>
        <w:ind w:firstLine="371"/>
        <w:jc w:val="both"/>
        <w:rPr>
          <w:rFonts w:ascii="Times New Roman" w:hAnsi="Times New Roman"/>
          <w:sz w:val="24"/>
          <w:szCs w:val="24"/>
        </w:rPr>
      </w:pPr>
      <w:r w:rsidRPr="009F3F59">
        <w:rPr>
          <w:rFonts w:ascii="Times New Roman" w:hAnsi="Times New Roman"/>
          <w:sz w:val="24"/>
          <w:szCs w:val="24"/>
        </w:rPr>
        <w:t xml:space="preserve">A </w:t>
      </w:r>
      <w:r w:rsidR="002E2F31" w:rsidRPr="009F3F59">
        <w:rPr>
          <w:rFonts w:ascii="Times New Roman" w:hAnsi="Times New Roman"/>
          <w:sz w:val="24"/>
          <w:szCs w:val="24"/>
        </w:rPr>
        <w:t>Figura 1</w:t>
      </w:r>
      <w:r w:rsidR="00785C36" w:rsidRPr="009F3F59">
        <w:rPr>
          <w:rFonts w:ascii="Times New Roman" w:hAnsi="Times New Roman"/>
          <w:sz w:val="24"/>
          <w:szCs w:val="24"/>
        </w:rPr>
        <w:t xml:space="preserve"> abaixo demonstra </w:t>
      </w:r>
      <w:r w:rsidR="002652D7" w:rsidRPr="009F3F59">
        <w:rPr>
          <w:rFonts w:ascii="Times New Roman" w:hAnsi="Times New Roman"/>
          <w:sz w:val="24"/>
          <w:szCs w:val="24"/>
        </w:rPr>
        <w:t xml:space="preserve">uma comparação entre a atividade biológica e a configuração absoluta de três compostos </w:t>
      </w:r>
      <w:proofErr w:type="spellStart"/>
      <w:r w:rsidR="002652D7" w:rsidRPr="009F3F59">
        <w:rPr>
          <w:rFonts w:ascii="Times New Roman" w:hAnsi="Times New Roman"/>
          <w:sz w:val="24"/>
          <w:szCs w:val="24"/>
        </w:rPr>
        <w:t>quirais</w:t>
      </w:r>
      <w:proofErr w:type="spellEnd"/>
      <w:r w:rsidR="002652D7" w:rsidRPr="009F3F59">
        <w:rPr>
          <w:rFonts w:ascii="Times New Roman" w:hAnsi="Times New Roman"/>
          <w:sz w:val="24"/>
          <w:szCs w:val="24"/>
        </w:rPr>
        <w:t xml:space="preserve">. O </w:t>
      </w:r>
      <w:proofErr w:type="spellStart"/>
      <w:r w:rsidR="002652D7" w:rsidRPr="009F3F59">
        <w:rPr>
          <w:rFonts w:ascii="Times New Roman" w:hAnsi="Times New Roman"/>
          <w:sz w:val="24"/>
          <w:szCs w:val="24"/>
        </w:rPr>
        <w:t>enantiômero</w:t>
      </w:r>
      <w:proofErr w:type="spellEnd"/>
      <w:r w:rsidR="002652D7" w:rsidRPr="009F3F59">
        <w:rPr>
          <w:rFonts w:ascii="Times New Roman" w:hAnsi="Times New Roman"/>
          <w:sz w:val="24"/>
          <w:szCs w:val="24"/>
        </w:rPr>
        <w:t xml:space="preserve"> </w:t>
      </w:r>
      <w:r w:rsidR="002652D7" w:rsidRPr="009F3F59">
        <w:rPr>
          <w:rFonts w:ascii="Times New Roman" w:hAnsi="Times New Roman"/>
          <w:i/>
          <w:iCs/>
          <w:sz w:val="24"/>
          <w:szCs w:val="24"/>
        </w:rPr>
        <w:t>S</w:t>
      </w:r>
      <w:r w:rsidR="002652D7" w:rsidRPr="009F3F59">
        <w:rPr>
          <w:rFonts w:ascii="Times New Roman" w:hAnsi="Times New Roman"/>
          <w:sz w:val="24"/>
          <w:szCs w:val="24"/>
        </w:rPr>
        <w:t xml:space="preserve">-(-) do β-bloqueador propranolol, utilizado, principalmente, como anti-hipertensivo, se liga mais efetivamente aos receptores β- adrenérgicos do que a sua forma </w:t>
      </w:r>
      <w:r w:rsidR="002652D7" w:rsidRPr="009F3F59">
        <w:rPr>
          <w:rFonts w:ascii="Times New Roman" w:hAnsi="Times New Roman"/>
          <w:i/>
          <w:iCs/>
          <w:sz w:val="24"/>
          <w:szCs w:val="24"/>
        </w:rPr>
        <w:t>R-</w:t>
      </w:r>
      <w:r w:rsidR="002652D7" w:rsidRPr="009F3F59">
        <w:rPr>
          <w:rFonts w:ascii="Times New Roman" w:hAnsi="Times New Roman"/>
          <w:sz w:val="24"/>
          <w:szCs w:val="24"/>
        </w:rPr>
        <w:t xml:space="preserve">(+), sendo assim, é o </w:t>
      </w:r>
      <w:proofErr w:type="spellStart"/>
      <w:r w:rsidR="002652D7" w:rsidRPr="009F3F59">
        <w:rPr>
          <w:rFonts w:ascii="Times New Roman" w:hAnsi="Times New Roman"/>
          <w:sz w:val="24"/>
          <w:szCs w:val="24"/>
        </w:rPr>
        <w:t>enantiômero</w:t>
      </w:r>
      <w:proofErr w:type="spellEnd"/>
      <w:r w:rsidR="002652D7" w:rsidRPr="009F3F59">
        <w:rPr>
          <w:rFonts w:ascii="Times New Roman" w:hAnsi="Times New Roman"/>
          <w:sz w:val="24"/>
          <w:szCs w:val="24"/>
        </w:rPr>
        <w:t xml:space="preserve"> terapeuticamente úti</w:t>
      </w:r>
      <w:r w:rsidR="00252838" w:rsidRPr="009F3F59">
        <w:rPr>
          <w:rFonts w:ascii="Times New Roman" w:hAnsi="Times New Roman"/>
          <w:sz w:val="24"/>
          <w:szCs w:val="24"/>
        </w:rPr>
        <w:t xml:space="preserve">l </w:t>
      </w:r>
      <w:r w:rsidR="004616DF" w:rsidRPr="009F3F59">
        <w:rPr>
          <w:rFonts w:ascii="Times New Roman" w:hAnsi="Times New Roman"/>
          <w:sz w:val="24"/>
          <w:szCs w:val="24"/>
        </w:rPr>
        <w:fldChar w:fldCharType="begin" w:fldLock="1"/>
      </w:r>
      <w:r w:rsidR="006C540A">
        <w:rPr>
          <w:rFonts w:ascii="Times New Roman" w:hAnsi="Times New Roman"/>
          <w:sz w:val="24"/>
          <w:szCs w:val="24"/>
        </w:rPr>
        <w:instrText>ADDIN CSL_CITATION { "citationItems" : [ { "id" : "ITEM-1", "itemData" : { "author" : [ { "dropping-particle" : "", "family" : "CROSBY J.", "given" : "", "non-dropping-particle" : "", "parse-names" : false, "suffix" : "" } ], "container-title" : "Tetrahedron", "id" : "ITEM-1", "issue" : "27", "issued" : { "date-parts" : [ [ "1991" ] ] }, "page" : "4789-4846", "title" : "Synthesis of optically active compounds: a large scale perspective", "type" : "article-journal", "volume" : "47" }, "uris" : [ "http://www.mendeley.com/documents/?uuid=319f363e-5db5-3873-a2fa-b2722ce0e5bc" ] }, { "id" : "ITEM-2", "itemData" : { "author" : [ { "dropping-particle" : "", "family" : "TRIGGLE D. J.", "given" : "", "non-dropping-particle" : "", "parse-names" : false, "suffix" : "" } ], "container-title" : "Drug Discovery Today", "id" : "ITEM-2", "issue" : "4", "issued" : { "date-parts" : [ [ "1997" ] ] }, "page" : "138-147", "title" : "Stereoselectivity of drug action", "type" : "article-journal", "volume" : "2" }, "uris" : [ "http://www.mendeley.com/documents/?uuid=137e2391-100d-3dda-b68a-f6e08517ac34" ] } ], "mendeley" : { "formattedCitation" : "(CROSBY J., 1991; TRIGGLE D. J., 1997)", "plainTextFormattedCitation" : "(CROSBY J., 1991; TRIGGLE D. J., 1997)", "previouslyFormattedCitation" : "(CROSBY J., 1991; TRIGGLE D. J., 1997)" }, "properties" : {  }, "schema" : "https://github.com/citation-style-language/schema/raw/master/csl-citation.json" }</w:instrText>
      </w:r>
      <w:r w:rsidR="004616DF" w:rsidRPr="009F3F59">
        <w:rPr>
          <w:rFonts w:ascii="Times New Roman" w:hAnsi="Times New Roman"/>
          <w:sz w:val="24"/>
          <w:szCs w:val="24"/>
        </w:rPr>
        <w:fldChar w:fldCharType="separate"/>
      </w:r>
      <w:r w:rsidR="006C540A" w:rsidRPr="006C540A">
        <w:rPr>
          <w:rFonts w:ascii="Times New Roman" w:hAnsi="Times New Roman"/>
          <w:noProof/>
          <w:sz w:val="24"/>
          <w:szCs w:val="24"/>
        </w:rPr>
        <w:t>(CROSBY J., 1991; TRIGGLE D. J., 1997)</w:t>
      </w:r>
      <w:r w:rsidR="004616DF" w:rsidRPr="009F3F59">
        <w:rPr>
          <w:rFonts w:ascii="Times New Roman" w:hAnsi="Times New Roman"/>
          <w:sz w:val="24"/>
          <w:szCs w:val="24"/>
        </w:rPr>
        <w:fldChar w:fldCharType="end"/>
      </w:r>
      <w:r w:rsidR="00252838" w:rsidRPr="009F3F59">
        <w:rPr>
          <w:rFonts w:ascii="Times New Roman" w:hAnsi="Times New Roman"/>
          <w:sz w:val="24"/>
          <w:szCs w:val="24"/>
        </w:rPr>
        <w:t>.</w:t>
      </w:r>
      <w:r w:rsidR="002652D7" w:rsidRPr="009F3F59">
        <w:rPr>
          <w:rFonts w:ascii="Times New Roman" w:hAnsi="Times New Roman"/>
          <w:sz w:val="24"/>
          <w:szCs w:val="24"/>
        </w:rPr>
        <w:t xml:space="preserve"> De modo semelhante, o </w:t>
      </w:r>
      <w:proofErr w:type="spellStart"/>
      <w:r w:rsidR="002652D7" w:rsidRPr="009F3F59">
        <w:rPr>
          <w:rFonts w:ascii="Times New Roman" w:hAnsi="Times New Roman"/>
          <w:sz w:val="24"/>
          <w:szCs w:val="24"/>
        </w:rPr>
        <w:t>enantiômero</w:t>
      </w:r>
      <w:proofErr w:type="spellEnd"/>
      <w:r w:rsidR="002652D7" w:rsidRPr="009F3F59">
        <w:rPr>
          <w:rFonts w:ascii="Times New Roman" w:hAnsi="Times New Roman"/>
          <w:sz w:val="24"/>
          <w:szCs w:val="24"/>
        </w:rPr>
        <w:t xml:space="preserve"> </w:t>
      </w:r>
      <w:proofErr w:type="gramStart"/>
      <w:r w:rsidR="002652D7" w:rsidRPr="009F3F59">
        <w:rPr>
          <w:rFonts w:ascii="Times New Roman" w:hAnsi="Times New Roman"/>
          <w:i/>
          <w:iCs/>
          <w:sz w:val="24"/>
          <w:szCs w:val="24"/>
        </w:rPr>
        <w:t>R,</w:t>
      </w:r>
      <w:proofErr w:type="gramEnd"/>
      <w:r w:rsidR="002652D7" w:rsidRPr="009F3F59">
        <w:rPr>
          <w:rFonts w:ascii="Times New Roman" w:hAnsi="Times New Roman"/>
          <w:i/>
          <w:iCs/>
          <w:sz w:val="24"/>
          <w:szCs w:val="24"/>
        </w:rPr>
        <w:t>R-</w:t>
      </w:r>
      <w:r w:rsidR="002652D7" w:rsidRPr="009F3F59">
        <w:rPr>
          <w:rFonts w:ascii="Times New Roman" w:hAnsi="Times New Roman"/>
          <w:sz w:val="24"/>
          <w:szCs w:val="24"/>
        </w:rPr>
        <w:t xml:space="preserve">(-) do </w:t>
      </w:r>
      <w:proofErr w:type="spellStart"/>
      <w:r w:rsidR="002652D7" w:rsidRPr="009F3F59">
        <w:rPr>
          <w:rFonts w:ascii="Times New Roman" w:hAnsi="Times New Roman"/>
          <w:sz w:val="24"/>
          <w:szCs w:val="24"/>
        </w:rPr>
        <w:t>cloranfenicol</w:t>
      </w:r>
      <w:proofErr w:type="spellEnd"/>
      <w:r w:rsidR="002652D7" w:rsidRPr="009F3F59">
        <w:rPr>
          <w:rFonts w:ascii="Times New Roman" w:hAnsi="Times New Roman"/>
          <w:sz w:val="24"/>
          <w:szCs w:val="24"/>
        </w:rPr>
        <w:t xml:space="preserve"> é indicado para o tratamento antibacteriano, em contrapartida, o </w:t>
      </w:r>
      <w:proofErr w:type="spellStart"/>
      <w:r w:rsidR="002652D7" w:rsidRPr="009F3F59">
        <w:rPr>
          <w:rFonts w:ascii="Times New Roman" w:hAnsi="Times New Roman"/>
          <w:sz w:val="24"/>
          <w:szCs w:val="24"/>
        </w:rPr>
        <w:t>enantiômero</w:t>
      </w:r>
      <w:proofErr w:type="spellEnd"/>
      <w:r w:rsidR="002652D7" w:rsidRPr="009F3F59">
        <w:rPr>
          <w:rFonts w:ascii="Times New Roman" w:hAnsi="Times New Roman"/>
          <w:sz w:val="24"/>
          <w:szCs w:val="24"/>
        </w:rPr>
        <w:t xml:space="preserve"> </w:t>
      </w:r>
      <w:r w:rsidR="002652D7" w:rsidRPr="009F3F59">
        <w:rPr>
          <w:rFonts w:ascii="Times New Roman" w:hAnsi="Times New Roman"/>
          <w:i/>
          <w:iCs/>
          <w:sz w:val="24"/>
          <w:szCs w:val="24"/>
        </w:rPr>
        <w:t>S,S-</w:t>
      </w:r>
      <w:r w:rsidR="00252838" w:rsidRPr="009F3F59">
        <w:rPr>
          <w:rFonts w:ascii="Times New Roman" w:hAnsi="Times New Roman"/>
          <w:sz w:val="24"/>
          <w:szCs w:val="24"/>
        </w:rPr>
        <w:t xml:space="preserve">(+) é inativo </w:t>
      </w:r>
      <w:r w:rsidR="004616DF" w:rsidRPr="009F3F59">
        <w:rPr>
          <w:rFonts w:ascii="Times New Roman" w:hAnsi="Times New Roman"/>
          <w:sz w:val="24"/>
          <w:szCs w:val="24"/>
        </w:rPr>
        <w:fldChar w:fldCharType="begin" w:fldLock="1"/>
      </w:r>
      <w:r w:rsidR="006C540A">
        <w:rPr>
          <w:rFonts w:ascii="Times New Roman" w:hAnsi="Times New Roman"/>
          <w:sz w:val="24"/>
          <w:szCs w:val="24"/>
        </w:rPr>
        <w:instrText>ADDIN CSL_CITATION { "citationItems" : [ { "id" : "ITEM-1", "itemData" : { "author" : [ { "dropping-particle" : "", "family" : "CROSBY J.", "given" : "", "non-dropping-particle" : "", "parse-names" : false, "suffix" : "" } ], "container-title" : "Tetrahedron", "id" : "ITEM-1", "issue" : "27", "issued" : { "date-parts" : [ [ "1991" ] ] }, "page" : "4789-4846", "title" : "Synthesis of optically active compounds: a large scale perspective", "type" : "article-journal", "volume" : "47" }, "uris" : [ "http://www.mendeley.com/documents/?uuid=319f363e-5db5-3873-a2fa-b2722ce0e5bc" ] } ], "mendeley" : { "formattedCitation" : "(CROSBY J., 1991)", "plainTextFormattedCitation" : "(CROSBY J., 1991)", "previouslyFormattedCitation" : "(CROSBY J., 1991)" }, "properties" : {  }, "schema" : "https://github.com/citation-style-language/schema/raw/master/csl-citation.json" }</w:instrText>
      </w:r>
      <w:r w:rsidR="004616DF" w:rsidRPr="009F3F59">
        <w:rPr>
          <w:rFonts w:ascii="Times New Roman" w:hAnsi="Times New Roman"/>
          <w:sz w:val="24"/>
          <w:szCs w:val="24"/>
        </w:rPr>
        <w:fldChar w:fldCharType="separate"/>
      </w:r>
      <w:r w:rsidR="006C540A" w:rsidRPr="006C540A">
        <w:rPr>
          <w:rFonts w:ascii="Times New Roman" w:hAnsi="Times New Roman"/>
          <w:noProof/>
          <w:sz w:val="24"/>
          <w:szCs w:val="24"/>
        </w:rPr>
        <w:t>(CROSBY J., 1991)</w:t>
      </w:r>
      <w:r w:rsidR="004616DF" w:rsidRPr="009F3F59">
        <w:rPr>
          <w:rFonts w:ascii="Times New Roman" w:hAnsi="Times New Roman"/>
          <w:sz w:val="24"/>
          <w:szCs w:val="24"/>
        </w:rPr>
        <w:fldChar w:fldCharType="end"/>
      </w:r>
      <w:r w:rsidR="00252838" w:rsidRPr="009F3F59">
        <w:rPr>
          <w:rFonts w:ascii="Times New Roman" w:hAnsi="Times New Roman"/>
          <w:sz w:val="24"/>
          <w:szCs w:val="24"/>
        </w:rPr>
        <w:t>.</w:t>
      </w:r>
      <w:r w:rsidR="002652D7" w:rsidRPr="009F3F59">
        <w:rPr>
          <w:rFonts w:ascii="Times New Roman" w:hAnsi="Times New Roman"/>
          <w:sz w:val="24"/>
          <w:szCs w:val="24"/>
        </w:rPr>
        <w:t xml:space="preserve"> Outro exemplo é o fármaco </w:t>
      </w:r>
      <w:proofErr w:type="spellStart"/>
      <w:r w:rsidR="002652D7" w:rsidRPr="009F3F59">
        <w:rPr>
          <w:rFonts w:ascii="Times New Roman" w:hAnsi="Times New Roman"/>
          <w:sz w:val="24"/>
          <w:szCs w:val="24"/>
        </w:rPr>
        <w:t>quiral</w:t>
      </w:r>
      <w:proofErr w:type="spellEnd"/>
      <w:r w:rsidR="002652D7" w:rsidRPr="009F3F59">
        <w:rPr>
          <w:rFonts w:ascii="Times New Roman" w:hAnsi="Times New Roman"/>
          <w:sz w:val="24"/>
          <w:szCs w:val="24"/>
        </w:rPr>
        <w:t xml:space="preserve"> </w:t>
      </w:r>
      <w:proofErr w:type="spellStart"/>
      <w:r w:rsidR="002652D7" w:rsidRPr="009F3F59">
        <w:rPr>
          <w:rFonts w:ascii="Times New Roman" w:hAnsi="Times New Roman"/>
          <w:sz w:val="24"/>
          <w:szCs w:val="24"/>
        </w:rPr>
        <w:t>etambutol</w:t>
      </w:r>
      <w:proofErr w:type="spellEnd"/>
      <w:r w:rsidR="002652D7" w:rsidRPr="009F3F59">
        <w:rPr>
          <w:rFonts w:ascii="Times New Roman" w:hAnsi="Times New Roman"/>
          <w:sz w:val="24"/>
          <w:szCs w:val="24"/>
        </w:rPr>
        <w:t xml:space="preserve">, sua forma </w:t>
      </w:r>
      <w:proofErr w:type="gramStart"/>
      <w:r w:rsidR="002652D7" w:rsidRPr="009F3F59">
        <w:rPr>
          <w:rFonts w:ascii="Times New Roman" w:hAnsi="Times New Roman"/>
          <w:i/>
          <w:iCs/>
          <w:sz w:val="24"/>
          <w:szCs w:val="24"/>
        </w:rPr>
        <w:t>S,</w:t>
      </w:r>
      <w:proofErr w:type="gramEnd"/>
      <w:r w:rsidR="002652D7" w:rsidRPr="009F3F59">
        <w:rPr>
          <w:rFonts w:ascii="Times New Roman" w:hAnsi="Times New Roman"/>
          <w:i/>
          <w:iCs/>
          <w:sz w:val="24"/>
          <w:szCs w:val="24"/>
        </w:rPr>
        <w:t>S-</w:t>
      </w:r>
      <w:r w:rsidR="002652D7" w:rsidRPr="009F3F59">
        <w:rPr>
          <w:rFonts w:ascii="Times New Roman" w:hAnsi="Times New Roman"/>
          <w:sz w:val="24"/>
          <w:szCs w:val="24"/>
        </w:rPr>
        <w:t xml:space="preserve">(+) é a responsável pela atividade </w:t>
      </w:r>
      <w:proofErr w:type="spellStart"/>
      <w:r w:rsidR="002652D7" w:rsidRPr="009F3F59">
        <w:rPr>
          <w:rFonts w:ascii="Times New Roman" w:hAnsi="Times New Roman"/>
          <w:sz w:val="24"/>
          <w:szCs w:val="24"/>
        </w:rPr>
        <w:t>tuberculástica</w:t>
      </w:r>
      <w:proofErr w:type="spellEnd"/>
      <w:r w:rsidR="002652D7" w:rsidRPr="009F3F59">
        <w:rPr>
          <w:rFonts w:ascii="Times New Roman" w:hAnsi="Times New Roman"/>
          <w:sz w:val="24"/>
          <w:szCs w:val="24"/>
        </w:rPr>
        <w:t xml:space="preserve"> e o </w:t>
      </w:r>
      <w:proofErr w:type="spellStart"/>
      <w:r w:rsidR="002652D7" w:rsidRPr="009F3F59">
        <w:rPr>
          <w:rFonts w:ascii="Times New Roman" w:hAnsi="Times New Roman"/>
          <w:sz w:val="24"/>
          <w:szCs w:val="24"/>
        </w:rPr>
        <w:t>enantiômero</w:t>
      </w:r>
      <w:proofErr w:type="spellEnd"/>
      <w:r w:rsidR="002652D7" w:rsidRPr="009F3F59">
        <w:rPr>
          <w:rFonts w:ascii="Times New Roman" w:hAnsi="Times New Roman"/>
          <w:sz w:val="24"/>
          <w:szCs w:val="24"/>
        </w:rPr>
        <w:t xml:space="preserve"> </w:t>
      </w:r>
      <w:r w:rsidR="002652D7" w:rsidRPr="009F3F59">
        <w:rPr>
          <w:rFonts w:ascii="Times New Roman" w:hAnsi="Times New Roman"/>
          <w:i/>
          <w:iCs/>
          <w:sz w:val="24"/>
          <w:szCs w:val="24"/>
        </w:rPr>
        <w:t>R,R-</w:t>
      </w:r>
      <w:r w:rsidR="002652D7" w:rsidRPr="009F3F59">
        <w:rPr>
          <w:rFonts w:ascii="Times New Roman" w:hAnsi="Times New Roman"/>
          <w:sz w:val="24"/>
          <w:szCs w:val="24"/>
        </w:rPr>
        <w:t xml:space="preserve">(-) causa cegueira </w:t>
      </w:r>
      <w:r w:rsidR="004616DF" w:rsidRPr="009F3F59">
        <w:rPr>
          <w:rFonts w:ascii="Times New Roman" w:hAnsi="Times New Roman"/>
          <w:sz w:val="24"/>
          <w:szCs w:val="24"/>
        </w:rPr>
        <w:fldChar w:fldCharType="begin" w:fldLock="1"/>
      </w:r>
      <w:r w:rsidR="006C540A">
        <w:rPr>
          <w:rFonts w:ascii="Times New Roman" w:hAnsi="Times New Roman"/>
          <w:sz w:val="24"/>
          <w:szCs w:val="24"/>
        </w:rPr>
        <w:instrText>ADDIN CSL_CITATION { "citationItems" : [ { "id" : "ITEM-1", "itemData" : { "author" : [ { "dropping-particle" : "", "family" : "CROSBY J.", "given" : "", "non-dropping-particle" : "", "parse-names" : false, "suffix" : "" } ], "container-title" : "Tetrahedron", "id" : "ITEM-1", "issue" : "27", "issued" : { "date-parts" : [ [ "1991" ] ] }, "page" : "4789-4846", "title" : "Synthesis of optically active compounds: a large scale perspective", "type" : "article-journal", "volume" : "47" }, "uris" : [ "http://www.mendeley.com/documents/?uuid=319f363e-5db5-3873-a2fa-b2722ce0e5bc" ] }, { "id" : "ITEM-2", "itemData" : { "author" : [ { "dropping-particle" : "", "family" : "MANNSCHRECK A.; KIESSWETTER R.", "given" : "", "non-dropping-particle" : "", "parse-names" : false, "suffix" : "" } ], "container-title" : "Journal of Chemical Education", "id" : "ITEM-2", "issue" : "12", "issued" : { "date-parts" : [ [ "2007" ] ] }, "page" : "2012-2018", "title" : "Unequal Activities of Enantiomers via Biological Receptors: Examples of Chiral Drug, Pesticide, and Fragrance Molecules", "type" : "article-journal", "volume" : "84" }, "uris" : [ "http://www.mendeley.com/documents/?uuid=b5abaff0-a54e-31fa-a275-81c51d0ee38c" ] } ], "mendeley" : { "formattedCitation" : "(CROSBY J., 1991; MANNSCHRECK A.; KIESSWETTER R., 2007)", "plainTextFormattedCitation" : "(CROSBY J., 1991; MANNSCHRECK A.; KIESSWETTER R., 2007)", "previouslyFormattedCitation" : "(CROSBY J., 1991; MANNSCHRECK A.; KIESSWETTER R., 2007)" }, "properties" : {  }, "schema" : "https://github.com/citation-style-language/schema/raw/master/csl-citation.json" }</w:instrText>
      </w:r>
      <w:r w:rsidR="004616DF" w:rsidRPr="009F3F59">
        <w:rPr>
          <w:rFonts w:ascii="Times New Roman" w:hAnsi="Times New Roman"/>
          <w:sz w:val="24"/>
          <w:szCs w:val="24"/>
        </w:rPr>
        <w:fldChar w:fldCharType="separate"/>
      </w:r>
      <w:r w:rsidR="006C540A" w:rsidRPr="006C540A">
        <w:rPr>
          <w:rFonts w:ascii="Times New Roman" w:hAnsi="Times New Roman"/>
          <w:noProof/>
          <w:sz w:val="24"/>
          <w:szCs w:val="24"/>
        </w:rPr>
        <w:t>(CROSBY J., 1991; MANNSCHRECK A.; KIESSWETTER R., 2007)</w:t>
      </w:r>
      <w:r w:rsidR="004616DF" w:rsidRPr="009F3F59">
        <w:rPr>
          <w:rFonts w:ascii="Times New Roman" w:hAnsi="Times New Roman"/>
          <w:sz w:val="24"/>
          <w:szCs w:val="24"/>
        </w:rPr>
        <w:fldChar w:fldCharType="end"/>
      </w:r>
      <w:r w:rsidR="00252838" w:rsidRPr="009F3F59">
        <w:rPr>
          <w:rFonts w:ascii="Times New Roman" w:hAnsi="Times New Roman"/>
          <w:sz w:val="24"/>
          <w:szCs w:val="24"/>
        </w:rPr>
        <w:t>.</w:t>
      </w:r>
      <w:r w:rsidR="002652D7" w:rsidRPr="009F3F59">
        <w:rPr>
          <w:rFonts w:ascii="Times New Roman" w:hAnsi="Times New Roman"/>
          <w:sz w:val="24"/>
          <w:szCs w:val="24"/>
        </w:rPr>
        <w:t xml:space="preserve"> Dessa forma, pares </w:t>
      </w:r>
      <w:proofErr w:type="spellStart"/>
      <w:r w:rsidR="002652D7" w:rsidRPr="009F3F59">
        <w:rPr>
          <w:rFonts w:ascii="Times New Roman" w:hAnsi="Times New Roman"/>
          <w:sz w:val="24"/>
          <w:szCs w:val="24"/>
        </w:rPr>
        <w:t>enantioméricos</w:t>
      </w:r>
      <w:proofErr w:type="spellEnd"/>
      <w:r w:rsidR="002652D7" w:rsidRPr="009F3F59">
        <w:rPr>
          <w:rFonts w:ascii="Times New Roman" w:hAnsi="Times New Roman"/>
          <w:sz w:val="24"/>
          <w:szCs w:val="24"/>
        </w:rPr>
        <w:t xml:space="preserve"> podem interagir de uma maneira diferenciada no organismo, ou seja, enquanto um </w:t>
      </w:r>
      <w:proofErr w:type="spellStart"/>
      <w:r w:rsidR="002652D7" w:rsidRPr="009F3F59">
        <w:rPr>
          <w:rFonts w:ascii="Times New Roman" w:hAnsi="Times New Roman"/>
          <w:sz w:val="24"/>
          <w:szCs w:val="24"/>
        </w:rPr>
        <w:t>enantiômero</w:t>
      </w:r>
      <w:proofErr w:type="spellEnd"/>
      <w:r w:rsidR="002652D7" w:rsidRPr="009F3F59">
        <w:rPr>
          <w:rFonts w:ascii="Times New Roman" w:hAnsi="Times New Roman"/>
          <w:sz w:val="24"/>
          <w:szCs w:val="24"/>
        </w:rPr>
        <w:t xml:space="preserve"> pode apresentar ação benéfica, o outro pode ser inócuo ou prejudicial e causar efeitos teratogênicos ou toxicidade.</w:t>
      </w:r>
    </w:p>
    <w:p w:rsidR="00AA1EB6" w:rsidRPr="00410E53" w:rsidRDefault="000D0BF3" w:rsidP="0022234B">
      <w:pPr>
        <w:spacing w:after="0" w:line="360" w:lineRule="auto"/>
        <w:jc w:val="center"/>
        <w:rPr>
          <w:rFonts w:ascii="Times New Roman" w:hAnsi="Times New Roman"/>
          <w:sz w:val="24"/>
          <w:szCs w:val="24"/>
        </w:rPr>
      </w:pPr>
      <w:r>
        <w:rPr>
          <w:rFonts w:ascii="Times New Roman" w:hAnsi="Times New Roman"/>
          <w:noProof/>
          <w:sz w:val="24"/>
          <w:szCs w:val="24"/>
          <w:lang w:eastAsia="pt-BR"/>
        </w:rPr>
        <w:pict>
          <v:shapetype id="_x0000_t202" coordsize="21600,21600" o:spt="202" path="m,l,21600r21600,l21600,xe">
            <v:stroke joinstyle="miter"/>
            <v:path gradientshapeok="t" o:connecttype="rect"/>
          </v:shapetype>
          <v:shape id="Text Box 6" o:spid="_x0000_s1027" type="#_x0000_t202" style="position:absolute;left:0;text-align:left;margin-left:171.3pt;margin-top:66.8pt;width:126.15pt;height:41.2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" stroked="f">
            <v:textbox style="mso-next-textbox:#Text Box 6">
              <w:txbxContent>
                <w:p w:rsidR="00AA1EB6" w:rsidRPr="008C75FC" w:rsidRDefault="00AA1EB6" w:rsidP="00AA1EB6">
                  <w:pPr>
                    <w:spacing w:after="0" w:line="240" w:lineRule="auto"/>
                    <w:jc w:val="center"/>
                    <w:rPr>
                      <w:rFonts w:ascii="Times New Roman" w:hAnsi="Times New Roman"/>
                      <w:sz w:val="20"/>
                      <w:szCs w:val="20"/>
                    </w:rPr>
                  </w:pPr>
                  <w:proofErr w:type="spellStart"/>
                  <w:r w:rsidRPr="008C75FC">
                    <w:rPr>
                      <w:rFonts w:ascii="Times New Roman" w:hAnsi="Times New Roman"/>
                      <w:sz w:val="20"/>
                      <w:szCs w:val="20"/>
                    </w:rPr>
                    <w:t>Cloranfenicol</w:t>
                  </w:r>
                  <w:proofErr w:type="spellEnd"/>
                </w:p>
                <w:p w:rsidR="00AA1EB6" w:rsidRPr="008C75FC" w:rsidRDefault="00AA1EB6" w:rsidP="00AA1EB6">
                  <w:pPr>
                    <w:spacing w:after="0" w:line="240" w:lineRule="auto"/>
                    <w:rPr>
                      <w:rFonts w:ascii="Times New Roman" w:hAnsi="Times New Roman"/>
                      <w:sz w:val="20"/>
                      <w:szCs w:val="20"/>
                    </w:rPr>
                  </w:pPr>
                  <w:proofErr w:type="gramStart"/>
                  <w:r w:rsidRPr="008C75FC">
                    <w:rPr>
                      <w:rFonts w:ascii="Times New Roman" w:hAnsi="Times New Roman"/>
                      <w:i/>
                      <w:sz w:val="20"/>
                      <w:szCs w:val="20"/>
                    </w:rPr>
                    <w:t>R,</w:t>
                  </w:r>
                  <w:proofErr w:type="gramEnd"/>
                  <w:r w:rsidRPr="008C75FC">
                    <w:rPr>
                      <w:rFonts w:ascii="Times New Roman" w:hAnsi="Times New Roman"/>
                      <w:i/>
                      <w:sz w:val="20"/>
                      <w:szCs w:val="20"/>
                    </w:rPr>
                    <w:t>R-</w:t>
                  </w:r>
                  <w:r w:rsidRPr="008C75FC">
                    <w:rPr>
                      <w:rFonts w:ascii="Times New Roman" w:hAnsi="Times New Roman"/>
                      <w:sz w:val="20"/>
                      <w:szCs w:val="20"/>
                    </w:rPr>
                    <w:t xml:space="preserve">(-) = Antibacteriano </w:t>
                  </w:r>
                  <w:r w:rsidRPr="008C75FC">
                    <w:rPr>
                      <w:rFonts w:ascii="Times New Roman" w:hAnsi="Times New Roman"/>
                      <w:i/>
                      <w:sz w:val="20"/>
                      <w:szCs w:val="20"/>
                    </w:rPr>
                    <w:t>S,S-</w:t>
                  </w:r>
                  <w:r w:rsidRPr="008C75FC">
                    <w:rPr>
                      <w:rFonts w:ascii="Times New Roman" w:hAnsi="Times New Roman"/>
                      <w:sz w:val="20"/>
                      <w:szCs w:val="20"/>
                    </w:rPr>
                    <w:t>(+) = Inativo</w:t>
                  </w:r>
                </w:p>
                <w:p w:rsidR="00AA1EB6" w:rsidRPr="004465CA" w:rsidRDefault="00AA1EB6" w:rsidP="00AA1EB6">
                  <w:pPr>
                    <w:rPr>
                      <w:sz w:val="18"/>
                      <w:szCs w:val="18"/>
                    </w:rPr>
                  </w:pPr>
                </w:p>
              </w:txbxContent>
            </v:textbox>
          </v:shape>
        </w:pict>
      </w:r>
      <w:r>
        <w:rPr>
          <w:rFonts w:ascii="Times New Roman" w:hAnsi="Times New Roman"/>
          <w:noProof/>
          <w:sz w:val="24"/>
          <w:szCs w:val="24"/>
          <w:lang w:eastAsia="pt-BR"/>
        </w:rPr>
        <w:pict>
          <v:shape id="_x0000_s1029" type="#_x0000_t202" style="position:absolute;left:0;text-align:left;margin-left:319.45pt;margin-top:66.95pt;width:115.4pt;height:41.7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" stroked="f">
            <v:textbox style="mso-next-textbox:#_x0000_s1029;mso-fit-shape-to-text:t">
              <w:txbxContent>
                <w:p w:rsidR="00AA1EB6" w:rsidRPr="008C75FC" w:rsidRDefault="00AA1EB6" w:rsidP="00AA1EB6">
                  <w:pPr>
                    <w:spacing w:after="0" w:line="240" w:lineRule="auto"/>
                    <w:jc w:val="center"/>
                    <w:rPr>
                      <w:rFonts w:ascii="Times New Roman" w:hAnsi="Times New Roman"/>
                      <w:sz w:val="20"/>
                      <w:szCs w:val="20"/>
                    </w:rPr>
                  </w:pPr>
                  <w:proofErr w:type="spellStart"/>
                  <w:r w:rsidRPr="008C75FC">
                    <w:rPr>
                      <w:rFonts w:ascii="Times New Roman" w:hAnsi="Times New Roman"/>
                      <w:sz w:val="20"/>
                      <w:szCs w:val="20"/>
                    </w:rPr>
                    <w:t>Etambutol</w:t>
                  </w:r>
                  <w:proofErr w:type="spellEnd"/>
                </w:p>
                <w:p w:rsidR="00AA1EB6" w:rsidRPr="008C75FC" w:rsidRDefault="00AA1EB6" w:rsidP="00AA1EB6">
                  <w:pPr>
                    <w:spacing w:after="0" w:line="240" w:lineRule="auto"/>
                    <w:rPr>
                      <w:rFonts w:ascii="Times New Roman" w:hAnsi="Times New Roman"/>
                      <w:sz w:val="20"/>
                      <w:szCs w:val="20"/>
                    </w:rPr>
                  </w:pPr>
                  <w:proofErr w:type="gramStart"/>
                  <w:r w:rsidRPr="008C75FC">
                    <w:rPr>
                      <w:rFonts w:ascii="Times New Roman" w:hAnsi="Times New Roman"/>
                      <w:i/>
                      <w:sz w:val="20"/>
                      <w:szCs w:val="20"/>
                    </w:rPr>
                    <w:t>S,</w:t>
                  </w:r>
                  <w:proofErr w:type="gramEnd"/>
                  <w:r w:rsidRPr="008C75FC">
                    <w:rPr>
                      <w:rFonts w:ascii="Times New Roman" w:hAnsi="Times New Roman"/>
                      <w:i/>
                      <w:sz w:val="20"/>
                      <w:szCs w:val="20"/>
                    </w:rPr>
                    <w:t>S-</w:t>
                  </w:r>
                  <w:r w:rsidRPr="008C75FC">
                    <w:rPr>
                      <w:rFonts w:ascii="Times New Roman" w:hAnsi="Times New Roman"/>
                      <w:sz w:val="20"/>
                      <w:szCs w:val="20"/>
                    </w:rPr>
                    <w:t xml:space="preserve">(+) = </w:t>
                  </w:r>
                  <w:proofErr w:type="spellStart"/>
                  <w:r w:rsidRPr="008C75FC">
                    <w:rPr>
                      <w:rFonts w:ascii="Times New Roman" w:hAnsi="Times New Roman"/>
                      <w:sz w:val="20"/>
                      <w:szCs w:val="20"/>
                    </w:rPr>
                    <w:t>Tuberculástico</w:t>
                  </w:r>
                  <w:proofErr w:type="spellEnd"/>
                </w:p>
                <w:p w:rsidR="00AA1EB6" w:rsidRPr="008C75FC" w:rsidRDefault="00AA1EB6" w:rsidP="00AA1EB6">
                  <w:pPr>
                    <w:spacing w:after="0" w:line="240" w:lineRule="auto"/>
                    <w:rPr>
                      <w:rFonts w:ascii="Times New Roman" w:hAnsi="Times New Roman"/>
                      <w:sz w:val="20"/>
                      <w:szCs w:val="20"/>
                    </w:rPr>
                  </w:pPr>
                  <w:proofErr w:type="gramStart"/>
                  <w:r w:rsidRPr="008C75FC">
                    <w:rPr>
                      <w:rFonts w:ascii="Times New Roman" w:hAnsi="Times New Roman"/>
                      <w:i/>
                      <w:sz w:val="20"/>
                      <w:szCs w:val="20"/>
                    </w:rPr>
                    <w:t>R,</w:t>
                  </w:r>
                  <w:proofErr w:type="gramEnd"/>
                  <w:r w:rsidRPr="008C75FC">
                    <w:rPr>
                      <w:rFonts w:ascii="Times New Roman" w:hAnsi="Times New Roman"/>
                      <w:i/>
                      <w:sz w:val="20"/>
                      <w:szCs w:val="20"/>
                    </w:rPr>
                    <w:t>R-</w:t>
                  </w:r>
                  <w:r w:rsidRPr="008C75FC">
                    <w:rPr>
                      <w:rFonts w:ascii="Times New Roman" w:hAnsi="Times New Roman"/>
                      <w:sz w:val="20"/>
                      <w:szCs w:val="20"/>
                    </w:rPr>
                    <w:t>(-) = Causa cegueira</w:t>
                  </w:r>
                </w:p>
              </w:txbxContent>
            </v:textbox>
          </v:shape>
        </w:pict>
      </w:r>
      <w:r>
        <w:rPr>
          <w:rFonts w:ascii="Times New Roman" w:hAnsi="Times New Roman"/>
          <w:noProof/>
          <w:sz w:val="24"/>
          <w:szCs w:val="24"/>
          <w:lang w:eastAsia="pt-BR"/>
        </w:rPr>
        <w:pict>
          <v:shape id="Text Box 7" o:spid="_x0000_s1028" type="#_x0000_t202" style="position:absolute;left:0;text-align:left;margin-left:26.45pt;margin-top:66.8pt;width:101.45pt;height:41.2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pMhQIAABg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" stroked="f">
            <v:textbox style="mso-next-textbox:#Text Box 7">
              <w:txbxContent>
                <w:p w:rsidR="00AA1EB6" w:rsidRPr="008C75FC" w:rsidRDefault="00AA1EB6" w:rsidP="00AA1EB6">
                  <w:pPr>
                    <w:spacing w:after="0" w:line="240" w:lineRule="auto"/>
                    <w:jc w:val="center"/>
                    <w:rPr>
                      <w:rFonts w:ascii="Times New Roman" w:hAnsi="Times New Roman"/>
                      <w:sz w:val="20"/>
                      <w:szCs w:val="20"/>
                    </w:rPr>
                  </w:pPr>
                  <w:r w:rsidRPr="008C75FC">
                    <w:rPr>
                      <w:rFonts w:ascii="Times New Roman" w:hAnsi="Times New Roman"/>
                      <w:sz w:val="20"/>
                      <w:szCs w:val="20"/>
                    </w:rPr>
                    <w:t>Propranolol</w:t>
                  </w:r>
                </w:p>
                <w:p w:rsidR="00AA1EB6" w:rsidRPr="008C75FC" w:rsidRDefault="00AA1EB6" w:rsidP="00AA1EB6">
                  <w:pPr>
                    <w:spacing w:after="0" w:line="240" w:lineRule="auto"/>
                    <w:rPr>
                      <w:rFonts w:ascii="Times New Roman" w:hAnsi="Times New Roman"/>
                      <w:sz w:val="20"/>
                      <w:szCs w:val="20"/>
                    </w:rPr>
                  </w:pPr>
                  <w:r>
                    <w:rPr>
                      <w:rFonts w:ascii="Times New Roman" w:hAnsi="Times New Roman"/>
                      <w:i/>
                      <w:sz w:val="20"/>
                      <w:szCs w:val="20"/>
                    </w:rPr>
                    <w:t>S-</w:t>
                  </w:r>
                  <w:r w:rsidRPr="008C75FC">
                    <w:rPr>
                      <w:rFonts w:ascii="Times New Roman" w:hAnsi="Times New Roman"/>
                      <w:sz w:val="20"/>
                      <w:szCs w:val="20"/>
                    </w:rPr>
                    <w:t>(-) = β-bloqueador</w:t>
                  </w:r>
                </w:p>
                <w:p w:rsidR="00AA1EB6" w:rsidRPr="008C75FC" w:rsidRDefault="00AA1EB6" w:rsidP="00AA1EB6">
                  <w:pPr>
                    <w:spacing w:after="0" w:line="240" w:lineRule="auto"/>
                    <w:rPr>
                      <w:rFonts w:ascii="Times New Roman" w:hAnsi="Times New Roman"/>
                      <w:sz w:val="20"/>
                      <w:szCs w:val="20"/>
                    </w:rPr>
                  </w:pPr>
                  <w:r w:rsidRPr="008C75FC">
                    <w:rPr>
                      <w:rFonts w:ascii="Times New Roman" w:hAnsi="Times New Roman"/>
                      <w:i/>
                      <w:sz w:val="20"/>
                      <w:szCs w:val="20"/>
                    </w:rPr>
                    <w:t>R</w:t>
                  </w:r>
                  <w:r w:rsidRPr="008C75FC">
                    <w:rPr>
                      <w:rFonts w:ascii="Times New Roman" w:hAnsi="Times New Roman"/>
                      <w:sz w:val="20"/>
                      <w:szCs w:val="20"/>
                    </w:rPr>
                    <w:t xml:space="preserve"> -(+) = Inativo</w:t>
                  </w:r>
                </w:p>
                <w:p w:rsidR="00AA1EB6" w:rsidRDefault="00AA1EB6" w:rsidP="00AA1EB6"/>
              </w:txbxContent>
            </v:textbox>
          </v:shape>
        </w:pict>
      </w:r>
      <w:r w:rsidR="00AA1EB6" w:rsidRPr="00410E53">
        <w:rPr>
          <w:rFonts w:ascii="Times New Roman" w:hAnsi="Times New Roman"/>
          <w:sz w:val="24"/>
          <w:szCs w:val="24"/>
        </w:rPr>
        <w:object w:dxaOrig="85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66pt" o:ole="">
            <v:imagedata r:id="rId14" o:title=""/>
          </v:shape>
          <o:OLEObject Type="Embed" ProgID="ChemDraw.Document.6.0" ShapeID="_x0000_i1025" DrawAspect="Content" ObjectID="_1575057148" r:id="rId15"/>
        </w:object>
      </w:r>
    </w:p>
    <w:p w:rsidR="00AA1EB6" w:rsidRDefault="00AA1EB6" w:rsidP="0022234B">
      <w:pPr>
        <w:spacing w:after="0" w:line="360" w:lineRule="auto"/>
        <w:jc w:val="center"/>
        <w:rPr>
          <w:rFonts w:ascii="Times New Roman" w:hAnsi="Times New Roman"/>
          <w:sz w:val="24"/>
          <w:szCs w:val="24"/>
        </w:rPr>
      </w:pPr>
    </w:p>
    <w:p w:rsidR="002652D7" w:rsidRPr="009F3F59" w:rsidRDefault="002652D7" w:rsidP="0022234B">
      <w:pPr>
        <w:spacing w:after="0"/>
        <w:rPr>
          <w:rFonts w:ascii="Times New Roman" w:hAnsi="Times New Roman"/>
          <w:sz w:val="24"/>
          <w:szCs w:val="24"/>
        </w:rPr>
      </w:pPr>
    </w:p>
    <w:p w:rsidR="0022234B" w:rsidRDefault="001D7A72" w:rsidP="007112D1">
      <w:pPr>
        <w:pStyle w:val="Legenda"/>
        <w:spacing w:after="0"/>
        <w:jc w:val="center"/>
        <w:rPr>
          <w:rFonts w:ascii="Times New Roman" w:hAnsi="Times New Roman"/>
          <w:b w:val="0"/>
          <w:sz w:val="24"/>
          <w:szCs w:val="24"/>
        </w:rPr>
      </w:pPr>
      <w:r w:rsidRPr="009F3F59">
        <w:rPr>
          <w:rFonts w:ascii="Times New Roman" w:hAnsi="Times New Roman"/>
          <w:sz w:val="24"/>
          <w:szCs w:val="24"/>
        </w:rPr>
        <w:t xml:space="preserve">Figura </w:t>
      </w:r>
      <w:r w:rsidR="004616DF" w:rsidRPr="009F3F59">
        <w:rPr>
          <w:rFonts w:ascii="Times New Roman" w:hAnsi="Times New Roman"/>
          <w:sz w:val="24"/>
          <w:szCs w:val="24"/>
        </w:rPr>
        <w:fldChar w:fldCharType="begin"/>
      </w:r>
      <w:r w:rsidRPr="009F3F59">
        <w:rPr>
          <w:rFonts w:ascii="Times New Roman" w:hAnsi="Times New Roman"/>
          <w:sz w:val="24"/>
          <w:szCs w:val="24"/>
        </w:rPr>
        <w:instrText xml:space="preserve"> SEQ Figura \* ARABIC </w:instrText>
      </w:r>
      <w:r w:rsidR="004616DF" w:rsidRPr="009F3F59">
        <w:rPr>
          <w:rFonts w:ascii="Times New Roman" w:hAnsi="Times New Roman"/>
          <w:sz w:val="24"/>
          <w:szCs w:val="24"/>
        </w:rPr>
        <w:fldChar w:fldCharType="separate"/>
      </w:r>
      <w:r w:rsidR="008C049C">
        <w:rPr>
          <w:rFonts w:ascii="Times New Roman" w:hAnsi="Times New Roman"/>
          <w:noProof/>
          <w:sz w:val="24"/>
          <w:szCs w:val="24"/>
        </w:rPr>
        <w:t>4</w:t>
      </w:r>
      <w:r w:rsidR="004616DF" w:rsidRPr="009F3F59">
        <w:rPr>
          <w:rFonts w:ascii="Times New Roman" w:hAnsi="Times New Roman"/>
          <w:sz w:val="24"/>
          <w:szCs w:val="24"/>
        </w:rPr>
        <w:fldChar w:fldCharType="end"/>
      </w:r>
      <w:r w:rsidRPr="009F3F59">
        <w:rPr>
          <w:rFonts w:ascii="Times New Roman" w:hAnsi="Times New Roman"/>
          <w:sz w:val="24"/>
          <w:szCs w:val="24"/>
        </w:rPr>
        <w:t xml:space="preserve">. </w:t>
      </w:r>
      <w:r w:rsidRPr="009F3F59">
        <w:rPr>
          <w:rFonts w:ascii="Times New Roman" w:hAnsi="Times New Roman"/>
          <w:b w:val="0"/>
          <w:sz w:val="24"/>
          <w:szCs w:val="24"/>
        </w:rPr>
        <w:t xml:space="preserve">Exemplos do efeito de </w:t>
      </w:r>
      <w:proofErr w:type="spellStart"/>
      <w:r w:rsidRPr="009F3F59">
        <w:rPr>
          <w:rFonts w:ascii="Times New Roman" w:hAnsi="Times New Roman"/>
          <w:b w:val="0"/>
          <w:sz w:val="24"/>
          <w:szCs w:val="24"/>
        </w:rPr>
        <w:t>quiralidade</w:t>
      </w:r>
      <w:proofErr w:type="spellEnd"/>
      <w:r w:rsidRPr="009F3F59">
        <w:rPr>
          <w:rFonts w:ascii="Times New Roman" w:hAnsi="Times New Roman"/>
          <w:b w:val="0"/>
          <w:sz w:val="24"/>
          <w:szCs w:val="24"/>
        </w:rPr>
        <w:t xml:space="preserve"> na atividade biológica de fármacos.</w:t>
      </w:r>
    </w:p>
    <w:p w:rsidR="007112D1" w:rsidRPr="007112D1" w:rsidRDefault="007112D1" w:rsidP="007112D1">
      <w:pPr>
        <w:spacing w:after="0"/>
      </w:pPr>
    </w:p>
    <w:p w:rsidR="00AA1EB6" w:rsidRDefault="002652D7" w:rsidP="0022234B">
      <w:pPr>
        <w:spacing w:after="0"/>
        <w:ind w:firstLine="371"/>
        <w:jc w:val="both"/>
        <w:rPr>
          <w:rFonts w:ascii="Times New Roman" w:hAnsi="Times New Roman"/>
          <w:sz w:val="24"/>
          <w:szCs w:val="24"/>
        </w:rPr>
      </w:pPr>
      <w:r w:rsidRPr="009F3F59">
        <w:rPr>
          <w:rFonts w:ascii="Times New Roman" w:hAnsi="Times New Roman"/>
          <w:sz w:val="24"/>
          <w:szCs w:val="24"/>
        </w:rPr>
        <w:t>É relevante citar</w:t>
      </w:r>
      <w:r w:rsidR="002E2F31" w:rsidRPr="009F3F59">
        <w:rPr>
          <w:rFonts w:ascii="Times New Roman" w:hAnsi="Times New Roman"/>
          <w:sz w:val="24"/>
          <w:szCs w:val="24"/>
        </w:rPr>
        <w:t xml:space="preserve"> também</w:t>
      </w:r>
      <w:r w:rsidRPr="009F3F59">
        <w:rPr>
          <w:rFonts w:ascii="Times New Roman" w:hAnsi="Times New Roman"/>
          <w:sz w:val="24"/>
          <w:szCs w:val="24"/>
        </w:rPr>
        <w:t xml:space="preserve"> que as propriedades organolépticas das substâncias também são influenciadas pela sua orientação espacial</w:t>
      </w:r>
      <w:r w:rsidR="00890F67">
        <w:rPr>
          <w:rFonts w:ascii="Times New Roman" w:hAnsi="Times New Roman"/>
          <w:sz w:val="24"/>
          <w:szCs w:val="24"/>
        </w:rPr>
        <w:t xml:space="preserve"> </w:t>
      </w:r>
      <w:r w:rsidR="004616DF">
        <w:rPr>
          <w:rFonts w:ascii="Times New Roman" w:hAnsi="Times New Roman"/>
          <w:sz w:val="24"/>
          <w:szCs w:val="24"/>
        </w:rPr>
        <w:fldChar w:fldCharType="begin" w:fldLock="1"/>
      </w:r>
      <w:r w:rsidR="006C540A">
        <w:rPr>
          <w:rFonts w:ascii="Times New Roman" w:hAnsi="Times New Roman"/>
          <w:sz w:val="24"/>
          <w:szCs w:val="24"/>
        </w:rPr>
        <w:instrText>ADDIN CSL_CITATION { "citationItems" : [ { "id" : "ITEM-1", "itemData" : { "DOI" : "10.1002/bit.260420610", "ISBN" : "0006-3592", "ISSN" : "0006-3592", "PMID" : "18613108", "abstract" : "The toxicity of homologous series of organic solvents has been investigated for the gram-positive bacteria, Arthrobacter sp. and Nocardia sp., and the gram-negative bacteria, Acinetobacter sp. and Pseudomonas sp. The hydrophobicity of the solvent, expressed by its logP(octanol), proves to be a good measure for the toxicity of solvents in a two-phase system. The transition from toxic to nontoxic solvents occurs between logP(octanol) 3 and 5 and depends on the homologous series. No correlation has been found between the hydrophobicity of the substituent on the alkyl backbone of the solvent and the location of the transition point in toxicity. The logP(octanol), above which all solvents are nontoxic, is used to express the solvent tolerance of the bacteria. In general, the solvent tolerance of gram-negative bacteria is found to be slightly higher than that of gram-positive bacteria, but this does not hold for all homologous series of organic solvents investigated.Because the toxicity effects of organic solvents in a two-phase system can be ascribed to molecular as well as phase toxicity effects, molecular toxicity effects were investigated separately in a one-phase system with subsaturating amounts of organic solvent. The solvent concentration in the aqueous phase, at which 50% of the metabolic activity of the bacteria is lost, is used to express solvent toxicity. This concentration is found to be similar for the gram-positive Arthrobacter and the gram-negative Acinetobacter. Assuming the critical membrane concentration theory (G. J. Osborne et al. Enzyme Microb. Technol. 1990, 12: 281-291) to be valid, it can be concluded that differences in solvent tolerance between these two bacteria, cannot be ascribed to differences in response to molecular toxicity. Prediction of the toxicity of any solvent, using the critical membrane theory, appears to be possible in the case of alkanols or alkyl acetates. However, prediction of the toxicity of ethers appears to be impossible.", "author" : [ { "dropping-particle" : "", "family" : "VERMU\u00cb", "given" : "M", "non-dropping-particle" : "", "parse-names" : false, "suffix" : "" }, { "dropping-particle" : "", "family" : "SIKKEMSA", "given" : "J", "non-dropping-particle" : "", "parse-names" : false, "suffix" : "" }, { "dropping-particle" : "", "family" : "VERHEUL", "given" : "A", "non-dropping-particle" : "", "parse-names" : false, "suffix" : "" }, { "dropping-particle" : "", "family" : "BAKKER", "given" : "R", "non-dropping-particle" : "", "parse-names" : false, "suffix" : "" }, { "dropping-particle" : "", "family" : "TRAMPER", "given" : "J", "non-dropping-particle" : "", "parse-names" : false, "suffix" : "" } ], "container-title" : "Biotechnology and bioengineering", "id" : "ITEM-1", "issued" : { "date-parts" : [ [ "1993" ] ] }, "page" : "747-758", "title" : "Toxicity of homologous series of organic solvents for the gram-positive bacteria Arthrobacter and Nocardia Sp. and the gram-negative bacteria Acinetobacter and Pseudomonas Sp.", "type" : "article-journal", "volume" : "42" }, "uris" : [ "http://www.mendeley.com/documents/?uuid=d35566da-8641-4368-ae1f-27cb15465605" ] }, { "id" : "ITEM-2", "itemData" : { "DOI" : "10.1093/toxsci/kfp097", "ISSN" : "10966080", "PMID" : "19414517", "abstract" : "Chiral substances possess a unique architecture such that, despite sharing identical molecular formulas, atom-to-atom linkages, and bonding distances, they cannot be superimposed. Thus, in the environment of living systems, where specific structure-activity relationships may be required for effect (e.g., enzymes, receptors, transporters, and DNA), the physiochemical and biochemical properties of racemic mixtures and individual stereoisomers can differ significantly. In drug development, enantiomeric selection to maximize clinical effects or mitigate drug toxicity has yielded both success and failure. Further complicating genetic polymorphisms in drug disposition, stereoselective metabolism of chiral compounds can additionally influence pharmacokinetics, pharmacodynamics, and toxicity. Optically pure pharmaceuticals may undergo racemization in vivo, negating single enantiomer benefits or inducing unexpected effects. Appropriate chiral antidotes must be selected for therapeutic benefit and to minimize adverse events. Enantiomers may possess different carcinogenicity and teratogenicity. Environmental toxicology provides several examples in which compound bioaccumulation, persistence, and toxicity show chiral dependence. In forensic toxicology, chiral analysis has been applied to illicit drug preparations and biological specimens, with the potential to assist in determination of cause of death and aid in the correct interpretation of substance abuse and \"doping\" screens. Adrenergic agonists and antagonist, nonsteroidal anti-inflammatory agents, SSRIs, opioids, warfarin, valproate, thalidomide, retinoic acid, N-acetylcysteine, carnitine, penicillamine, leucovorin, glucarpidase, pesticides, polychlorinated biphenyls, phenylethylamines, and additional compounds will be discussed to illustrate important concepts in \"chiral toxicology.\"", "author" : [ { "dropping-particle" : "", "family" : "SMITH", "given" : "SiILAS W.", "non-dropping-particle" : "", "parse-names" : false, "suffix" : "" } ], "container-title" : "Toxicological Sciences", "id" : "ITEM-2", "issue" : "1", "issued" : { "date-parts" : [ [ "2009" ] ] }, "page" : "4-30", "title" : "Chiral toxicology: It's the same thing only different", "type" : "article-journal", "volume" : "110" }, "uris" : [ "http://www.mendeley.com/documents/?uuid=fbcefc55-ae14-45ae-9400-32997ff5c930" ] } ], "mendeley" : { "formattedCitation" : "(SMITH, 2009; VERMU\u00cb, SIKKEMSA, VERHEUL, BAKKER, &amp; TRAMPER, 1993)", "plainTextFormattedCitation" : "(SMITH, 2009; VERMU\u00cb, SIKKEMSA, VERHEUL, BAKKER, &amp; TRAMPER, 1993)", "previouslyFormattedCitation" : "(Smith, 2009; Vermu\u00eb, Sikkema, Verheul, Bakker, &amp; Tramper, 1993)" }, "properties" : {  }, "schema" : "https://github.com/citation-style-language/schema/raw/master/csl-citation.json" }</w:instrText>
      </w:r>
      <w:r w:rsidR="004616DF">
        <w:rPr>
          <w:rFonts w:ascii="Times New Roman" w:hAnsi="Times New Roman"/>
          <w:sz w:val="24"/>
          <w:szCs w:val="24"/>
        </w:rPr>
        <w:fldChar w:fldCharType="separate"/>
      </w:r>
      <w:r w:rsidR="006C540A" w:rsidRPr="006C540A">
        <w:rPr>
          <w:rFonts w:ascii="Times New Roman" w:hAnsi="Times New Roman"/>
          <w:noProof/>
          <w:sz w:val="24"/>
          <w:szCs w:val="24"/>
        </w:rPr>
        <w:t>(SMITH, 2009; VERMUË, SIKKEMSA, VERHEUL, BAKKER, &amp; TRAMPER, 1993)</w:t>
      </w:r>
      <w:r w:rsidR="004616DF">
        <w:rPr>
          <w:rFonts w:ascii="Times New Roman" w:hAnsi="Times New Roman"/>
          <w:sz w:val="24"/>
          <w:szCs w:val="24"/>
        </w:rPr>
        <w:fldChar w:fldCharType="end"/>
      </w:r>
      <w:r w:rsidRPr="009F3F59">
        <w:rPr>
          <w:rFonts w:ascii="Times New Roman" w:hAnsi="Times New Roman"/>
          <w:sz w:val="24"/>
          <w:szCs w:val="24"/>
        </w:rPr>
        <w:t xml:space="preserve">. </w:t>
      </w:r>
      <w:r w:rsidR="00785C36" w:rsidRPr="009F3F59">
        <w:rPr>
          <w:rFonts w:ascii="Times New Roman" w:hAnsi="Times New Roman"/>
          <w:sz w:val="24"/>
          <w:szCs w:val="24"/>
        </w:rPr>
        <w:t>Alguns</w:t>
      </w:r>
      <w:r w:rsidRPr="009F3F59">
        <w:rPr>
          <w:rFonts w:ascii="Times New Roman" w:hAnsi="Times New Roman"/>
          <w:sz w:val="24"/>
          <w:szCs w:val="24"/>
        </w:rPr>
        <w:t xml:space="preserve"> exemplos de compostos que apresentam diferentes sabores e odores em função da sua configuração absoluta</w:t>
      </w:r>
      <w:r w:rsidR="00785C36" w:rsidRPr="009F3F59">
        <w:rPr>
          <w:rFonts w:ascii="Times New Roman" w:hAnsi="Times New Roman"/>
          <w:sz w:val="24"/>
          <w:szCs w:val="24"/>
        </w:rPr>
        <w:t xml:space="preserve"> são ilustrados abaixo</w:t>
      </w:r>
      <w:r w:rsidR="00396349" w:rsidRPr="009F3F59">
        <w:rPr>
          <w:rFonts w:ascii="Times New Roman" w:hAnsi="Times New Roman"/>
          <w:sz w:val="24"/>
          <w:szCs w:val="24"/>
        </w:rPr>
        <w:t xml:space="preserve"> (Figura 2)</w:t>
      </w:r>
      <w:r w:rsidR="00252838" w:rsidRPr="009F3F59">
        <w:rPr>
          <w:rFonts w:ascii="Times New Roman" w:hAnsi="Times New Roman"/>
          <w:sz w:val="24"/>
          <w:szCs w:val="24"/>
        </w:rPr>
        <w:t xml:space="preserve">. Dessa forma, de acordo com </w:t>
      </w:r>
      <w:r w:rsidR="004616DF" w:rsidRPr="009F3F59">
        <w:rPr>
          <w:rFonts w:ascii="Times New Roman" w:hAnsi="Times New Roman"/>
          <w:sz w:val="24"/>
          <w:szCs w:val="24"/>
        </w:rPr>
        <w:fldChar w:fldCharType="begin" w:fldLock="1"/>
      </w:r>
      <w:r w:rsidR="006C540A">
        <w:rPr>
          <w:rFonts w:ascii="Times New Roman" w:hAnsi="Times New Roman"/>
          <w:sz w:val="24"/>
          <w:szCs w:val="24"/>
        </w:rPr>
        <w:instrText>ADDIN CSL_CITATION { "citationItems" : [ { "id" : "ITEM-1", "itemData" : { "author" : [ { "dropping-particle" : "", "family" : "CROSBY J.", "given" : "", "non-dropping-particle" : "", "parse-names" : false, "suffix" : "" } ], "container-title" : "Tetrahedron", "id" : "ITEM-1", "issue" : "27", "issued" : { "date-parts" : [ [ "1991" ] ] }, "page" : "4789-4846", "title" : "Synthesis of optically active compounds: a large scale perspective", "type" : "article-journal", "volume" : "47" }, "uris" : [ "http://www.mendeley.com/documents/?uuid=319f363e-5db5-3873-a2fa-b2722ce0e5bc" ] } ], "mendeley" : { "formattedCitation" : "(CROSBY J., 1991)", "plainTextFormattedCitation" : "(CROSBY J., 1991)", "previouslyFormattedCitation" : "(CROSBY J., 1991)" }, "properties" : {  }, "schema" : "https://github.com/citation-style-language/schema/raw/master/csl-citation.json" }</w:instrText>
      </w:r>
      <w:r w:rsidR="004616DF" w:rsidRPr="009F3F59">
        <w:rPr>
          <w:rFonts w:ascii="Times New Roman" w:hAnsi="Times New Roman"/>
          <w:sz w:val="24"/>
          <w:szCs w:val="24"/>
        </w:rPr>
        <w:fldChar w:fldCharType="separate"/>
      </w:r>
      <w:r w:rsidR="006C540A" w:rsidRPr="006C540A">
        <w:rPr>
          <w:rFonts w:ascii="Times New Roman" w:hAnsi="Times New Roman"/>
          <w:noProof/>
          <w:sz w:val="24"/>
          <w:szCs w:val="24"/>
        </w:rPr>
        <w:t>(CROSBY J., 1991)</w:t>
      </w:r>
      <w:r w:rsidR="004616DF" w:rsidRPr="009F3F59">
        <w:rPr>
          <w:rFonts w:ascii="Times New Roman" w:hAnsi="Times New Roman"/>
          <w:sz w:val="24"/>
          <w:szCs w:val="24"/>
        </w:rPr>
        <w:fldChar w:fldCharType="end"/>
      </w:r>
      <w:r w:rsidR="00252838" w:rsidRPr="009F3F59">
        <w:rPr>
          <w:rFonts w:ascii="Times New Roman" w:hAnsi="Times New Roman"/>
          <w:sz w:val="24"/>
          <w:szCs w:val="24"/>
        </w:rPr>
        <w:t xml:space="preserve"> </w:t>
      </w:r>
      <w:r w:rsidRPr="009F3F59">
        <w:rPr>
          <w:rFonts w:ascii="Times New Roman" w:hAnsi="Times New Roman"/>
          <w:sz w:val="24"/>
          <w:szCs w:val="24"/>
        </w:rPr>
        <w:t xml:space="preserve">a produção de moléculas </w:t>
      </w:r>
      <w:proofErr w:type="spellStart"/>
      <w:r w:rsidRPr="009F3F59">
        <w:rPr>
          <w:rFonts w:ascii="Times New Roman" w:hAnsi="Times New Roman"/>
          <w:sz w:val="24"/>
          <w:szCs w:val="24"/>
        </w:rPr>
        <w:t>enantiomericamente</w:t>
      </w:r>
      <w:proofErr w:type="spellEnd"/>
      <w:r w:rsidRPr="009F3F59">
        <w:rPr>
          <w:rFonts w:ascii="Times New Roman" w:hAnsi="Times New Roman"/>
          <w:sz w:val="24"/>
          <w:szCs w:val="24"/>
        </w:rPr>
        <w:t xml:space="preserve"> puras não é só uma preocupação da indústria farmacêutica, ela também </w:t>
      </w:r>
      <w:r w:rsidR="00785C36" w:rsidRPr="009F3F59">
        <w:rPr>
          <w:rFonts w:ascii="Times New Roman" w:hAnsi="Times New Roman"/>
          <w:sz w:val="24"/>
          <w:szCs w:val="24"/>
        </w:rPr>
        <w:t>abrange</w:t>
      </w:r>
      <w:r w:rsidRPr="009F3F59">
        <w:rPr>
          <w:rFonts w:ascii="Times New Roman" w:hAnsi="Times New Roman"/>
          <w:sz w:val="24"/>
          <w:szCs w:val="24"/>
        </w:rPr>
        <w:t xml:space="preserve"> aos demais </w:t>
      </w:r>
      <w:r w:rsidR="00785C36" w:rsidRPr="009F3F59">
        <w:rPr>
          <w:rFonts w:ascii="Times New Roman" w:hAnsi="Times New Roman"/>
          <w:sz w:val="24"/>
          <w:szCs w:val="24"/>
        </w:rPr>
        <w:t>ramos</w:t>
      </w:r>
      <w:r w:rsidR="00252838" w:rsidRPr="009F3F59">
        <w:rPr>
          <w:rFonts w:ascii="Times New Roman" w:hAnsi="Times New Roman"/>
          <w:sz w:val="24"/>
          <w:szCs w:val="24"/>
        </w:rPr>
        <w:t xml:space="preserve"> industriais.</w:t>
      </w:r>
    </w:p>
    <w:p w:rsidR="00AA1EB6" w:rsidRDefault="000D0BF3" w:rsidP="0022234B">
      <w:pPr>
        <w:spacing w:after="0"/>
        <w:jc w:val="both"/>
        <w:rPr>
          <w:rFonts w:ascii="Times New Roman" w:hAnsi="Times New Roman"/>
          <w:sz w:val="24"/>
          <w:szCs w:val="24"/>
        </w:rPr>
      </w:pPr>
      <w:r>
        <w:rPr>
          <w:rFonts w:ascii="Times New Roman" w:hAnsi="Times New Roman"/>
          <w:noProof/>
          <w:sz w:val="24"/>
          <w:szCs w:val="24"/>
        </w:rPr>
        <w:pict>
          <v:shape id="_x0000_s1033" type="#_x0000_t75" style="position:absolute;left:0;text-align:left;margin-left:68.2pt;margin-top:2.8pt;width:319.5pt;height:71.25pt;z-index:251660800">
            <v:imagedata r:id="rId16" o:title=""/>
          </v:shape>
          <o:OLEObject Type="Embed" ProgID="ChemDraw.Document.6.0" ShapeID="_x0000_s1033" DrawAspect="Content" ObjectID="_1575057149" r:id="rId17"/>
        </w:pict>
      </w:r>
    </w:p>
    <w:p w:rsidR="00AA1EB6" w:rsidRDefault="00AA1EB6" w:rsidP="0022234B">
      <w:pPr>
        <w:spacing w:after="0" w:line="360" w:lineRule="auto"/>
        <w:jc w:val="center"/>
        <w:rPr>
          <w:rFonts w:ascii="Times New Roman" w:hAnsi="Times New Roman"/>
          <w:sz w:val="24"/>
          <w:szCs w:val="24"/>
        </w:rPr>
      </w:pPr>
    </w:p>
    <w:p w:rsidR="00AA1EB6" w:rsidRPr="00604D63" w:rsidRDefault="00AA1EB6" w:rsidP="0022234B">
      <w:pPr>
        <w:spacing w:after="0" w:line="360" w:lineRule="auto"/>
        <w:jc w:val="center"/>
        <w:rPr>
          <w:rFonts w:ascii="Times New Roman" w:hAnsi="Times New Roman"/>
          <w:sz w:val="24"/>
          <w:szCs w:val="24"/>
        </w:rPr>
      </w:pPr>
    </w:p>
    <w:p w:rsidR="00AA1EB6" w:rsidRDefault="000D0BF3" w:rsidP="0022234B">
      <w:pPr>
        <w:spacing w:after="0" w:line="360" w:lineRule="auto"/>
        <w:jc w:val="center"/>
        <w:rPr>
          <w:rFonts w:ascii="Times New Roman" w:hAnsi="Times New Roman"/>
          <w:sz w:val="24"/>
          <w:szCs w:val="24"/>
        </w:rPr>
      </w:pPr>
      <w:r>
        <w:rPr>
          <w:rFonts w:ascii="Times New Roman" w:hAnsi="Times New Roman"/>
          <w:noProof/>
          <w:sz w:val="24"/>
          <w:szCs w:val="24"/>
          <w:lang w:eastAsia="pt-BR"/>
        </w:rPr>
        <w:pict>
          <v:shape id="Text Box 150" o:spid="_x0000_s1030" type="#_x0000_t202" style="position:absolute;left:0;text-align:left;margin-left:37.8pt;margin-top:6.9pt;width:125.25pt;height:41.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" stroked="f">
            <v:textbox style="mso-next-textbox:#Text Box 150">
              <w:txbxContent>
                <w:p w:rsidR="00AA1EB6" w:rsidRPr="007706E8" w:rsidRDefault="00AA1EB6" w:rsidP="00AA1EB6">
                  <w:pPr>
                    <w:spacing w:after="0" w:line="240" w:lineRule="auto"/>
                    <w:jc w:val="center"/>
                    <w:rPr>
                      <w:rFonts w:ascii="Times New Roman" w:hAnsi="Times New Roman"/>
                      <w:sz w:val="20"/>
                      <w:szCs w:val="20"/>
                    </w:rPr>
                  </w:pPr>
                  <w:proofErr w:type="spellStart"/>
                  <w:r w:rsidRPr="007706E8">
                    <w:rPr>
                      <w:rFonts w:ascii="Times New Roman" w:hAnsi="Times New Roman"/>
                      <w:sz w:val="20"/>
                      <w:szCs w:val="20"/>
                    </w:rPr>
                    <w:t>Limoneno</w:t>
                  </w:r>
                  <w:proofErr w:type="spellEnd"/>
                </w:p>
                <w:p w:rsidR="00AA1EB6" w:rsidRPr="007706E8" w:rsidRDefault="00AA1EB6" w:rsidP="00AA1EB6">
                  <w:pPr>
                    <w:spacing w:after="0" w:line="240" w:lineRule="auto"/>
                    <w:rPr>
                      <w:rFonts w:ascii="Times New Roman" w:hAnsi="Times New Roman"/>
                      <w:sz w:val="20"/>
                      <w:szCs w:val="20"/>
                    </w:rPr>
                  </w:pPr>
                  <w:r w:rsidRPr="007706E8">
                    <w:rPr>
                      <w:rFonts w:ascii="Times New Roman" w:hAnsi="Times New Roman"/>
                      <w:i/>
                      <w:iCs/>
                      <w:sz w:val="20"/>
                      <w:szCs w:val="20"/>
                    </w:rPr>
                    <w:t>R</w:t>
                  </w:r>
                  <w:r w:rsidRPr="007706E8">
                    <w:rPr>
                      <w:rFonts w:ascii="Times New Roman" w:hAnsi="Times New Roman"/>
                      <w:sz w:val="20"/>
                      <w:szCs w:val="20"/>
                    </w:rPr>
                    <w:t>-(+)</w:t>
                  </w:r>
                  <w:r>
                    <w:rPr>
                      <w:rFonts w:ascii="Times New Roman" w:hAnsi="Times New Roman"/>
                      <w:sz w:val="20"/>
                      <w:szCs w:val="20"/>
                    </w:rPr>
                    <w:t xml:space="preserve"> </w:t>
                  </w:r>
                  <w:r w:rsidRPr="007706E8">
                    <w:rPr>
                      <w:rFonts w:ascii="Times New Roman" w:hAnsi="Times New Roman"/>
                      <w:sz w:val="20"/>
                      <w:szCs w:val="20"/>
                    </w:rPr>
                    <w:t>= Odor de laranja</w:t>
                  </w:r>
                </w:p>
                <w:p w:rsidR="00AA1EB6" w:rsidRPr="007706E8" w:rsidRDefault="00AA1EB6" w:rsidP="00AA1EB6">
                  <w:pPr>
                    <w:spacing w:after="0" w:line="240" w:lineRule="auto"/>
                    <w:rPr>
                      <w:rFonts w:ascii="Times New Roman" w:hAnsi="Times New Roman"/>
                      <w:sz w:val="20"/>
                      <w:szCs w:val="20"/>
                    </w:rPr>
                  </w:pPr>
                  <w:r w:rsidRPr="007706E8">
                    <w:rPr>
                      <w:rFonts w:ascii="Times New Roman" w:hAnsi="Times New Roman"/>
                      <w:i/>
                      <w:iCs/>
                      <w:sz w:val="20"/>
                      <w:szCs w:val="20"/>
                    </w:rPr>
                    <w:t>S</w:t>
                  </w:r>
                  <w:r w:rsidRPr="007706E8">
                    <w:rPr>
                      <w:rFonts w:ascii="Times New Roman" w:hAnsi="Times New Roman"/>
                      <w:sz w:val="20"/>
                      <w:szCs w:val="20"/>
                    </w:rPr>
                    <w:t xml:space="preserve"> -(-)</w:t>
                  </w:r>
                  <w:r>
                    <w:rPr>
                      <w:rFonts w:ascii="Times New Roman" w:hAnsi="Times New Roman"/>
                      <w:sz w:val="20"/>
                      <w:szCs w:val="20"/>
                    </w:rPr>
                    <w:t xml:space="preserve"> </w:t>
                  </w:r>
                  <w:r w:rsidRPr="007706E8">
                    <w:rPr>
                      <w:rFonts w:ascii="Times New Roman" w:hAnsi="Times New Roman"/>
                      <w:sz w:val="20"/>
                      <w:szCs w:val="20"/>
                    </w:rPr>
                    <w:t>= Odor de</w:t>
                  </w:r>
                  <w:proofErr w:type="gramStart"/>
                  <w:r w:rsidRPr="007706E8">
                    <w:rPr>
                      <w:rFonts w:ascii="Times New Roman" w:hAnsi="Times New Roman"/>
                      <w:sz w:val="20"/>
                      <w:szCs w:val="20"/>
                    </w:rPr>
                    <w:t xml:space="preserve">  </w:t>
                  </w:r>
                  <w:proofErr w:type="gramEnd"/>
                  <w:r w:rsidRPr="007706E8">
                    <w:rPr>
                      <w:rFonts w:ascii="Times New Roman" w:hAnsi="Times New Roman"/>
                      <w:sz w:val="20"/>
                      <w:szCs w:val="20"/>
                    </w:rPr>
                    <w:t xml:space="preserve">limão </w:t>
                  </w:r>
                </w:p>
                <w:p w:rsidR="00AA1EB6" w:rsidRPr="007706E8" w:rsidRDefault="00AA1EB6" w:rsidP="00AA1EB6">
                  <w:pPr>
                    <w:spacing w:after="0" w:line="240" w:lineRule="auto"/>
                    <w:rPr>
                      <w:rFonts w:ascii="Times New Roman" w:hAnsi="Times New Roman"/>
                      <w:sz w:val="20"/>
                      <w:szCs w:val="20"/>
                    </w:rPr>
                  </w:pPr>
                </w:p>
              </w:txbxContent>
            </v:textbox>
          </v:shape>
        </w:pict>
      </w:r>
      <w:r>
        <w:rPr>
          <w:rFonts w:ascii="Times New Roman" w:hAnsi="Times New Roman"/>
          <w:noProof/>
          <w:sz w:val="24"/>
          <w:szCs w:val="24"/>
          <w:lang w:eastAsia="pt-BR"/>
        </w:rPr>
        <w:pict>
          <v:shape id="Text Box 152" o:spid="_x0000_s1032" type="#_x0000_t202" style="position:absolute;left:0;text-align:left;margin-left:296.2pt;margin-top:8.4pt;width:107.25pt;height:42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wnhwIAABo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" stroked="f">
            <v:textbox style="mso-next-textbox:#Text Box 152">
              <w:txbxContent>
                <w:p w:rsidR="00AA1EB6" w:rsidRPr="007706E8" w:rsidRDefault="00AA1EB6" w:rsidP="00AA1EB6">
                  <w:pPr>
                    <w:spacing w:after="0" w:line="240" w:lineRule="auto"/>
                    <w:jc w:val="center"/>
                    <w:rPr>
                      <w:rFonts w:ascii="Times New Roman" w:hAnsi="Times New Roman"/>
                      <w:sz w:val="20"/>
                      <w:szCs w:val="20"/>
                    </w:rPr>
                  </w:pPr>
                  <w:r w:rsidRPr="007706E8">
                    <w:rPr>
                      <w:rFonts w:ascii="Times New Roman" w:hAnsi="Times New Roman"/>
                      <w:sz w:val="20"/>
                      <w:szCs w:val="20"/>
                    </w:rPr>
                    <w:t>Asparagina</w:t>
                  </w:r>
                </w:p>
                <w:p w:rsidR="00AA1EB6" w:rsidRPr="007706E8" w:rsidRDefault="00AA1EB6" w:rsidP="00AA1EB6">
                  <w:pPr>
                    <w:spacing w:after="0" w:line="240" w:lineRule="auto"/>
                    <w:rPr>
                      <w:rFonts w:ascii="Times New Roman" w:hAnsi="Times New Roman"/>
                      <w:sz w:val="20"/>
                      <w:szCs w:val="20"/>
                    </w:rPr>
                  </w:pPr>
                  <w:r w:rsidRPr="007706E8">
                    <w:rPr>
                      <w:rFonts w:ascii="Times New Roman" w:hAnsi="Times New Roman"/>
                      <w:i/>
                      <w:iCs/>
                      <w:sz w:val="20"/>
                      <w:szCs w:val="20"/>
                    </w:rPr>
                    <w:t>R</w:t>
                  </w:r>
                  <w:r w:rsidRPr="007706E8">
                    <w:rPr>
                      <w:rFonts w:ascii="Times New Roman" w:hAnsi="Times New Roman"/>
                      <w:sz w:val="20"/>
                      <w:szCs w:val="20"/>
                    </w:rPr>
                    <w:t>-(+) = Sabor doce</w:t>
                  </w:r>
                </w:p>
                <w:p w:rsidR="00AA1EB6" w:rsidRPr="007706E8" w:rsidRDefault="00AA1EB6" w:rsidP="00AA1EB6">
                  <w:pPr>
                    <w:spacing w:after="0" w:line="240" w:lineRule="auto"/>
                    <w:rPr>
                      <w:rFonts w:ascii="Times New Roman" w:hAnsi="Times New Roman"/>
                      <w:sz w:val="20"/>
                      <w:szCs w:val="20"/>
                    </w:rPr>
                  </w:pPr>
                  <w:r w:rsidRPr="007706E8">
                    <w:rPr>
                      <w:rFonts w:ascii="Times New Roman" w:hAnsi="Times New Roman"/>
                      <w:i/>
                      <w:iCs/>
                      <w:sz w:val="20"/>
                      <w:szCs w:val="20"/>
                    </w:rPr>
                    <w:t>S</w:t>
                  </w:r>
                  <w:r w:rsidRPr="007706E8">
                    <w:rPr>
                      <w:rFonts w:ascii="Times New Roman" w:hAnsi="Times New Roman"/>
                      <w:sz w:val="20"/>
                      <w:szCs w:val="20"/>
                    </w:rPr>
                    <w:t>-(-)</w:t>
                  </w:r>
                  <w:r>
                    <w:rPr>
                      <w:rFonts w:ascii="Times New Roman" w:hAnsi="Times New Roman"/>
                      <w:sz w:val="20"/>
                      <w:szCs w:val="20"/>
                    </w:rPr>
                    <w:t xml:space="preserve"> </w:t>
                  </w:r>
                  <w:r w:rsidRPr="007706E8">
                    <w:rPr>
                      <w:rFonts w:ascii="Times New Roman" w:hAnsi="Times New Roman"/>
                      <w:sz w:val="20"/>
                      <w:szCs w:val="20"/>
                    </w:rPr>
                    <w:t xml:space="preserve">= Sabor amargo </w:t>
                  </w:r>
                </w:p>
                <w:p w:rsidR="00AA1EB6" w:rsidRPr="007706E8" w:rsidRDefault="00AA1EB6" w:rsidP="00AA1EB6">
                  <w:pPr>
                    <w:spacing w:after="0"/>
                    <w:rPr>
                      <w:rFonts w:ascii="Times New Roman" w:hAnsi="Times New Roman"/>
                      <w:sz w:val="20"/>
                      <w:szCs w:val="20"/>
                    </w:rPr>
                  </w:pPr>
                </w:p>
              </w:txbxContent>
            </v:textbox>
          </v:shape>
        </w:pict>
      </w:r>
      <w:r>
        <w:rPr>
          <w:rFonts w:ascii="Times New Roman" w:hAnsi="Times New Roman"/>
          <w:noProof/>
          <w:sz w:val="24"/>
          <w:szCs w:val="24"/>
          <w:lang w:eastAsia="pt-BR"/>
        </w:rPr>
        <w:pict>
          <v:shape id="Text Box 151" o:spid="_x0000_s1031" type="#_x0000_t202" style="position:absolute;left:0;text-align:left;margin-left:157.7pt;margin-top:8.4pt;width:127pt;height:41.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" stroked="f">
            <v:textbox style="mso-next-textbox:#Text Box 151">
              <w:txbxContent>
                <w:p w:rsidR="00AA1EB6" w:rsidRPr="007706E8" w:rsidRDefault="00AA1EB6" w:rsidP="00AA1EB6">
                  <w:pPr>
                    <w:spacing w:after="0" w:line="240" w:lineRule="auto"/>
                    <w:jc w:val="center"/>
                    <w:rPr>
                      <w:rFonts w:ascii="Times New Roman" w:hAnsi="Times New Roman"/>
                      <w:sz w:val="20"/>
                      <w:szCs w:val="20"/>
                    </w:rPr>
                  </w:pPr>
                  <w:proofErr w:type="spellStart"/>
                  <w:r w:rsidRPr="007706E8">
                    <w:rPr>
                      <w:rFonts w:ascii="Times New Roman" w:hAnsi="Times New Roman"/>
                      <w:sz w:val="20"/>
                      <w:szCs w:val="20"/>
                    </w:rPr>
                    <w:t>Carvona</w:t>
                  </w:r>
                  <w:proofErr w:type="spellEnd"/>
                </w:p>
                <w:p w:rsidR="00AA1EB6" w:rsidRPr="007706E8" w:rsidRDefault="00AA1EB6" w:rsidP="00AA1EB6">
                  <w:pPr>
                    <w:spacing w:after="0" w:line="240" w:lineRule="auto"/>
                    <w:rPr>
                      <w:rFonts w:ascii="Times New Roman" w:hAnsi="Times New Roman"/>
                      <w:sz w:val="20"/>
                      <w:szCs w:val="20"/>
                    </w:rPr>
                  </w:pPr>
                  <w:r w:rsidRPr="007706E8">
                    <w:rPr>
                      <w:rFonts w:ascii="Times New Roman" w:hAnsi="Times New Roman"/>
                      <w:i/>
                      <w:iCs/>
                      <w:sz w:val="20"/>
                      <w:szCs w:val="20"/>
                    </w:rPr>
                    <w:t>R</w:t>
                  </w:r>
                  <w:r w:rsidRPr="007706E8">
                    <w:rPr>
                      <w:rFonts w:ascii="Times New Roman" w:hAnsi="Times New Roman"/>
                      <w:sz w:val="20"/>
                      <w:szCs w:val="20"/>
                    </w:rPr>
                    <w:t>-(-)</w:t>
                  </w:r>
                  <w:r>
                    <w:rPr>
                      <w:rFonts w:ascii="Times New Roman" w:hAnsi="Times New Roman"/>
                      <w:sz w:val="20"/>
                      <w:szCs w:val="20"/>
                    </w:rPr>
                    <w:t xml:space="preserve"> </w:t>
                  </w:r>
                  <w:r w:rsidRPr="007706E8">
                    <w:rPr>
                      <w:rFonts w:ascii="Times New Roman" w:hAnsi="Times New Roman"/>
                      <w:sz w:val="20"/>
                      <w:szCs w:val="20"/>
                    </w:rPr>
                    <w:t>= Cheiro de hortelã</w:t>
                  </w:r>
                </w:p>
                <w:p w:rsidR="00AA1EB6" w:rsidRPr="007706E8" w:rsidRDefault="00AA1EB6" w:rsidP="00AA1EB6">
                  <w:pPr>
                    <w:spacing w:after="0" w:line="240" w:lineRule="auto"/>
                    <w:rPr>
                      <w:rFonts w:ascii="Times New Roman" w:hAnsi="Times New Roman"/>
                      <w:sz w:val="20"/>
                      <w:szCs w:val="20"/>
                    </w:rPr>
                  </w:pPr>
                  <w:r w:rsidRPr="007706E8">
                    <w:rPr>
                      <w:rFonts w:ascii="Times New Roman" w:hAnsi="Times New Roman"/>
                      <w:i/>
                      <w:iCs/>
                      <w:sz w:val="20"/>
                      <w:szCs w:val="20"/>
                    </w:rPr>
                    <w:t>S</w:t>
                  </w:r>
                  <w:r w:rsidRPr="007706E8">
                    <w:rPr>
                      <w:rFonts w:ascii="Times New Roman" w:hAnsi="Times New Roman"/>
                      <w:sz w:val="20"/>
                      <w:szCs w:val="20"/>
                    </w:rPr>
                    <w:t xml:space="preserve"> -(+)</w:t>
                  </w:r>
                  <w:r>
                    <w:rPr>
                      <w:rFonts w:ascii="Times New Roman" w:hAnsi="Times New Roman"/>
                      <w:sz w:val="20"/>
                      <w:szCs w:val="20"/>
                    </w:rPr>
                    <w:t xml:space="preserve"> </w:t>
                  </w:r>
                  <w:r w:rsidRPr="007706E8">
                    <w:rPr>
                      <w:rFonts w:ascii="Times New Roman" w:hAnsi="Times New Roman"/>
                      <w:sz w:val="20"/>
                      <w:szCs w:val="20"/>
                    </w:rPr>
                    <w:t xml:space="preserve">= Cheiro de cominho </w:t>
                  </w:r>
                </w:p>
                <w:p w:rsidR="00AA1EB6" w:rsidRPr="007706E8" w:rsidRDefault="00AA1EB6" w:rsidP="00AA1EB6">
                  <w:pPr>
                    <w:spacing w:after="0"/>
                    <w:rPr>
                      <w:rFonts w:ascii="Times New Roman" w:hAnsi="Times New Roman"/>
                      <w:sz w:val="20"/>
                      <w:szCs w:val="20"/>
                    </w:rPr>
                  </w:pPr>
                </w:p>
              </w:txbxContent>
            </v:textbox>
          </v:shape>
        </w:pict>
      </w:r>
    </w:p>
    <w:p w:rsidR="00277541" w:rsidRDefault="00277541" w:rsidP="0022234B">
      <w:pPr>
        <w:spacing w:after="0"/>
        <w:ind w:firstLine="371"/>
        <w:jc w:val="both"/>
        <w:rPr>
          <w:rFonts w:ascii="Times New Roman" w:hAnsi="Times New Roman"/>
          <w:sz w:val="24"/>
          <w:szCs w:val="24"/>
        </w:rPr>
      </w:pPr>
    </w:p>
    <w:p w:rsidR="0022234B" w:rsidRPr="009F3F59" w:rsidRDefault="0022234B" w:rsidP="0022234B">
      <w:pPr>
        <w:spacing w:after="0"/>
        <w:ind w:firstLine="371"/>
        <w:jc w:val="both"/>
        <w:rPr>
          <w:rFonts w:ascii="Times New Roman" w:hAnsi="Times New Roman"/>
          <w:sz w:val="24"/>
          <w:szCs w:val="24"/>
        </w:rPr>
      </w:pPr>
    </w:p>
    <w:p w:rsidR="001D7A72" w:rsidRDefault="001D7A72" w:rsidP="0022234B">
      <w:pPr>
        <w:pStyle w:val="Legenda"/>
        <w:spacing w:after="0"/>
        <w:jc w:val="center"/>
        <w:rPr>
          <w:rFonts w:ascii="Times New Roman" w:hAnsi="Times New Roman"/>
          <w:b w:val="0"/>
          <w:sz w:val="24"/>
          <w:szCs w:val="24"/>
        </w:rPr>
      </w:pPr>
      <w:r w:rsidRPr="009F3F59">
        <w:rPr>
          <w:rFonts w:ascii="Times New Roman" w:hAnsi="Times New Roman"/>
          <w:sz w:val="24"/>
          <w:szCs w:val="24"/>
        </w:rPr>
        <w:lastRenderedPageBreak/>
        <w:t xml:space="preserve">Figura </w:t>
      </w:r>
      <w:r w:rsidR="004616DF" w:rsidRPr="009F3F59">
        <w:rPr>
          <w:rFonts w:ascii="Times New Roman" w:hAnsi="Times New Roman"/>
          <w:sz w:val="24"/>
          <w:szCs w:val="24"/>
        </w:rPr>
        <w:fldChar w:fldCharType="begin"/>
      </w:r>
      <w:r w:rsidRPr="009F3F59">
        <w:rPr>
          <w:rFonts w:ascii="Times New Roman" w:hAnsi="Times New Roman"/>
          <w:sz w:val="24"/>
          <w:szCs w:val="24"/>
        </w:rPr>
        <w:instrText xml:space="preserve"> SEQ Figura \* ARABIC </w:instrText>
      </w:r>
      <w:r w:rsidR="004616DF" w:rsidRPr="009F3F59">
        <w:rPr>
          <w:rFonts w:ascii="Times New Roman" w:hAnsi="Times New Roman"/>
          <w:sz w:val="24"/>
          <w:szCs w:val="24"/>
        </w:rPr>
        <w:fldChar w:fldCharType="separate"/>
      </w:r>
      <w:r w:rsidR="008C049C">
        <w:rPr>
          <w:rFonts w:ascii="Times New Roman" w:hAnsi="Times New Roman"/>
          <w:noProof/>
          <w:sz w:val="24"/>
          <w:szCs w:val="24"/>
        </w:rPr>
        <w:t>5</w:t>
      </w:r>
      <w:r w:rsidR="004616DF" w:rsidRPr="009F3F59">
        <w:rPr>
          <w:rFonts w:ascii="Times New Roman" w:hAnsi="Times New Roman"/>
          <w:sz w:val="24"/>
          <w:szCs w:val="24"/>
        </w:rPr>
        <w:fldChar w:fldCharType="end"/>
      </w:r>
      <w:r w:rsidRPr="009F3F59">
        <w:rPr>
          <w:rFonts w:ascii="Times New Roman" w:hAnsi="Times New Roman"/>
          <w:sz w:val="24"/>
          <w:szCs w:val="24"/>
        </w:rPr>
        <w:t xml:space="preserve">. </w:t>
      </w:r>
      <w:r w:rsidRPr="009F3F59">
        <w:rPr>
          <w:rFonts w:ascii="Times New Roman" w:hAnsi="Times New Roman"/>
          <w:b w:val="0"/>
          <w:sz w:val="24"/>
          <w:szCs w:val="24"/>
        </w:rPr>
        <w:t xml:space="preserve">Exemplos do efeito de </w:t>
      </w:r>
      <w:proofErr w:type="spellStart"/>
      <w:r w:rsidRPr="009F3F59">
        <w:rPr>
          <w:rFonts w:ascii="Times New Roman" w:hAnsi="Times New Roman"/>
          <w:b w:val="0"/>
          <w:sz w:val="24"/>
          <w:szCs w:val="24"/>
        </w:rPr>
        <w:t>quiralidade</w:t>
      </w:r>
      <w:proofErr w:type="spellEnd"/>
      <w:r w:rsidRPr="009F3F59">
        <w:rPr>
          <w:rFonts w:ascii="Times New Roman" w:hAnsi="Times New Roman"/>
          <w:b w:val="0"/>
          <w:sz w:val="24"/>
          <w:szCs w:val="24"/>
        </w:rPr>
        <w:t xml:space="preserve"> nas propriedades organolépticas de alguns compostos</w:t>
      </w:r>
    </w:p>
    <w:p w:rsidR="005B3AFF" w:rsidRPr="005B3AFF" w:rsidRDefault="005B3AFF" w:rsidP="0022234B">
      <w:pPr>
        <w:spacing w:after="0"/>
      </w:pPr>
    </w:p>
    <w:p w:rsidR="0022234B" w:rsidRDefault="0022234B" w:rsidP="0022234B">
      <w:pPr>
        <w:spacing w:after="0"/>
        <w:jc w:val="both"/>
        <w:rPr>
          <w:rFonts w:ascii="Times New Roman" w:hAnsi="Times New Roman"/>
          <w:b/>
          <w:sz w:val="24"/>
          <w:szCs w:val="24"/>
        </w:rPr>
      </w:pPr>
      <w:r>
        <w:rPr>
          <w:rFonts w:ascii="Times New Roman" w:hAnsi="Times New Roman"/>
          <w:b/>
          <w:sz w:val="24"/>
          <w:szCs w:val="24"/>
        </w:rPr>
        <w:t xml:space="preserve">3. </w:t>
      </w:r>
      <w:r w:rsidR="00277541" w:rsidRPr="009F3F59">
        <w:rPr>
          <w:rFonts w:ascii="Times New Roman" w:hAnsi="Times New Roman"/>
          <w:b/>
          <w:sz w:val="24"/>
          <w:szCs w:val="24"/>
        </w:rPr>
        <w:t>Metodologia</w:t>
      </w:r>
    </w:p>
    <w:p w:rsidR="007112D1" w:rsidRPr="009F3F59" w:rsidRDefault="007112D1" w:rsidP="0022234B">
      <w:pPr>
        <w:spacing w:after="0"/>
        <w:jc w:val="both"/>
        <w:rPr>
          <w:rFonts w:ascii="Times New Roman" w:hAnsi="Times New Roman"/>
          <w:b/>
          <w:sz w:val="24"/>
          <w:szCs w:val="24"/>
        </w:rPr>
      </w:pPr>
    </w:p>
    <w:p w:rsidR="00277541" w:rsidRPr="00C06070" w:rsidRDefault="00277541" w:rsidP="0022234B">
      <w:pPr>
        <w:spacing w:after="0"/>
        <w:ind w:firstLine="709"/>
        <w:jc w:val="both"/>
        <w:rPr>
          <w:rFonts w:ascii="Times New Roman" w:hAnsi="Times New Roman"/>
          <w:sz w:val="24"/>
          <w:szCs w:val="24"/>
        </w:rPr>
      </w:pPr>
      <w:r w:rsidRPr="00C06070">
        <w:rPr>
          <w:rFonts w:ascii="Times New Roman" w:hAnsi="Times New Roman"/>
          <w:sz w:val="24"/>
          <w:szCs w:val="24"/>
        </w:rPr>
        <w:t>A metodologia pr</w:t>
      </w:r>
      <w:r w:rsidR="003F6B1B">
        <w:rPr>
          <w:rFonts w:ascii="Times New Roman" w:hAnsi="Times New Roman"/>
          <w:sz w:val="24"/>
          <w:szCs w:val="24"/>
        </w:rPr>
        <w:t xml:space="preserve">oposta para este trabalho </w:t>
      </w:r>
      <w:proofErr w:type="spellStart"/>
      <w:r w:rsidR="003F6B1B">
        <w:rPr>
          <w:rFonts w:ascii="Times New Roman" w:hAnsi="Times New Roman"/>
          <w:sz w:val="24"/>
          <w:szCs w:val="24"/>
        </w:rPr>
        <w:t>baseiou</w:t>
      </w:r>
      <w:r w:rsidRPr="00C06070">
        <w:rPr>
          <w:rFonts w:ascii="Times New Roman" w:hAnsi="Times New Roman"/>
          <w:sz w:val="24"/>
          <w:szCs w:val="24"/>
        </w:rPr>
        <w:t>-se</w:t>
      </w:r>
      <w:proofErr w:type="spellEnd"/>
      <w:r w:rsidRPr="00C06070">
        <w:rPr>
          <w:rFonts w:ascii="Times New Roman" w:hAnsi="Times New Roman"/>
          <w:sz w:val="24"/>
          <w:szCs w:val="24"/>
        </w:rPr>
        <w:t xml:space="preserve"> na pesquisa bibliográfica e na aplicação de procedimentos da </w:t>
      </w:r>
      <w:proofErr w:type="spellStart"/>
      <w:r w:rsidRPr="00C06070">
        <w:rPr>
          <w:rFonts w:ascii="Times New Roman" w:hAnsi="Times New Roman"/>
          <w:sz w:val="24"/>
          <w:szCs w:val="24"/>
        </w:rPr>
        <w:t>bibliometria</w:t>
      </w:r>
      <w:proofErr w:type="spellEnd"/>
      <w:r w:rsidRPr="00C06070">
        <w:rPr>
          <w:rFonts w:ascii="Times New Roman" w:hAnsi="Times New Roman"/>
          <w:sz w:val="24"/>
          <w:szCs w:val="24"/>
        </w:rPr>
        <w:t>, com o objetivo de apresentar um levantamento bibliográf</w:t>
      </w:r>
      <w:r w:rsidR="006D5FEA">
        <w:rPr>
          <w:rFonts w:ascii="Times New Roman" w:hAnsi="Times New Roman"/>
          <w:sz w:val="24"/>
          <w:szCs w:val="24"/>
        </w:rPr>
        <w:t>ico e quantificar a literatura</w:t>
      </w:r>
      <w:r w:rsidRPr="00C06070">
        <w:rPr>
          <w:rFonts w:ascii="Times New Roman" w:hAnsi="Times New Roman"/>
          <w:sz w:val="24"/>
          <w:szCs w:val="24"/>
        </w:rPr>
        <w:t xml:space="preserve"> sobre a</w:t>
      </w:r>
      <w:r w:rsidR="006D5FEA">
        <w:rPr>
          <w:rFonts w:ascii="Times New Roman" w:hAnsi="Times New Roman"/>
          <w:sz w:val="24"/>
          <w:szCs w:val="24"/>
        </w:rPr>
        <w:t xml:space="preserve"> importância da</w:t>
      </w:r>
      <w:r w:rsidRPr="00C06070">
        <w:rPr>
          <w:rFonts w:ascii="Times New Roman" w:hAnsi="Times New Roman"/>
          <w:sz w:val="24"/>
          <w:szCs w:val="24"/>
        </w:rPr>
        <w:t xml:space="preserve"> </w:t>
      </w:r>
      <w:proofErr w:type="spellStart"/>
      <w:r w:rsidR="006D5FEA">
        <w:rPr>
          <w:rFonts w:ascii="Times New Roman" w:hAnsi="Times New Roman"/>
          <w:sz w:val="24"/>
          <w:szCs w:val="24"/>
        </w:rPr>
        <w:t>quiralidade</w:t>
      </w:r>
      <w:proofErr w:type="spellEnd"/>
      <w:r w:rsidR="006D5FEA">
        <w:rPr>
          <w:rFonts w:ascii="Times New Roman" w:hAnsi="Times New Roman"/>
          <w:sz w:val="24"/>
          <w:szCs w:val="24"/>
        </w:rPr>
        <w:t xml:space="preserve"> em</w:t>
      </w:r>
      <w:bookmarkStart w:id="0" w:name="_GoBack"/>
      <w:bookmarkEnd w:id="0"/>
      <w:r w:rsidR="006D5FEA">
        <w:rPr>
          <w:rFonts w:ascii="Times New Roman" w:hAnsi="Times New Roman"/>
          <w:sz w:val="24"/>
          <w:szCs w:val="24"/>
        </w:rPr>
        <w:t xml:space="preserve"> fármacos</w:t>
      </w:r>
      <w:r w:rsidRPr="00C06070">
        <w:rPr>
          <w:rFonts w:ascii="Times New Roman" w:hAnsi="Times New Roman"/>
          <w:sz w:val="24"/>
          <w:szCs w:val="24"/>
        </w:rPr>
        <w:t xml:space="preserve"> no período de </w:t>
      </w:r>
      <w:r w:rsidR="003233A6" w:rsidRPr="00C06070">
        <w:rPr>
          <w:rFonts w:ascii="Times New Roman" w:hAnsi="Times New Roman"/>
          <w:sz w:val="24"/>
          <w:szCs w:val="24"/>
        </w:rPr>
        <w:t>1987 a 2017</w:t>
      </w:r>
      <w:r w:rsidRPr="00C06070">
        <w:rPr>
          <w:rFonts w:ascii="Times New Roman" w:hAnsi="Times New Roman"/>
          <w:sz w:val="24"/>
          <w:szCs w:val="24"/>
        </w:rPr>
        <w:t>.</w:t>
      </w:r>
    </w:p>
    <w:p w:rsidR="00277541" w:rsidRPr="00C06070" w:rsidRDefault="00277541" w:rsidP="0022234B">
      <w:pPr>
        <w:spacing w:after="0"/>
        <w:ind w:firstLine="708"/>
        <w:jc w:val="both"/>
        <w:rPr>
          <w:rFonts w:ascii="Times New Roman" w:hAnsi="Times New Roman"/>
          <w:sz w:val="24"/>
          <w:szCs w:val="24"/>
        </w:rPr>
      </w:pPr>
      <w:r w:rsidRPr="00C06070">
        <w:rPr>
          <w:rFonts w:ascii="Times New Roman" w:hAnsi="Times New Roman"/>
          <w:sz w:val="24"/>
          <w:szCs w:val="24"/>
        </w:rPr>
        <w:t xml:space="preserve">A amostra inicial de trabalho foi obtida por meio de pesquisa na base de dados </w:t>
      </w:r>
      <w:r w:rsidRPr="00C06070">
        <w:rPr>
          <w:rFonts w:ascii="Times New Roman" w:hAnsi="Times New Roman"/>
          <w:i/>
          <w:sz w:val="24"/>
          <w:szCs w:val="24"/>
        </w:rPr>
        <w:t xml:space="preserve">ISI Web </w:t>
      </w:r>
      <w:proofErr w:type="spellStart"/>
      <w:r w:rsidRPr="00C06070">
        <w:rPr>
          <w:rFonts w:ascii="Times New Roman" w:hAnsi="Times New Roman"/>
          <w:i/>
          <w:sz w:val="24"/>
          <w:szCs w:val="24"/>
        </w:rPr>
        <w:t>of</w:t>
      </w:r>
      <w:proofErr w:type="spellEnd"/>
      <w:r w:rsidRPr="00C06070">
        <w:rPr>
          <w:rFonts w:ascii="Times New Roman" w:hAnsi="Times New Roman"/>
          <w:i/>
          <w:sz w:val="24"/>
          <w:szCs w:val="24"/>
        </w:rPr>
        <w:t xml:space="preserve"> Science</w:t>
      </w:r>
      <w:r w:rsidRPr="00C06070">
        <w:rPr>
          <w:rFonts w:ascii="Times New Roman" w:hAnsi="Times New Roman"/>
          <w:sz w:val="24"/>
          <w:szCs w:val="24"/>
        </w:rPr>
        <w:t xml:space="preserve"> das palavras-chave </w:t>
      </w:r>
      <w:proofErr w:type="spellStart"/>
      <w:r w:rsidR="003233A6" w:rsidRPr="00C06070">
        <w:rPr>
          <w:rFonts w:ascii="Times New Roman" w:hAnsi="Times New Roman"/>
          <w:i/>
          <w:sz w:val="24"/>
          <w:szCs w:val="24"/>
        </w:rPr>
        <w:t>chiral</w:t>
      </w:r>
      <w:proofErr w:type="spellEnd"/>
      <w:r w:rsidR="003233A6" w:rsidRPr="00C06070">
        <w:rPr>
          <w:rFonts w:ascii="Times New Roman" w:hAnsi="Times New Roman"/>
          <w:i/>
          <w:sz w:val="24"/>
          <w:szCs w:val="24"/>
        </w:rPr>
        <w:t xml:space="preserve"> </w:t>
      </w:r>
      <w:proofErr w:type="spellStart"/>
      <w:r w:rsidR="003233A6" w:rsidRPr="00C06070">
        <w:rPr>
          <w:rFonts w:ascii="Times New Roman" w:hAnsi="Times New Roman"/>
          <w:i/>
          <w:sz w:val="24"/>
          <w:szCs w:val="24"/>
        </w:rPr>
        <w:t>drugs</w:t>
      </w:r>
      <w:proofErr w:type="spellEnd"/>
      <w:r w:rsidRPr="00C06070">
        <w:rPr>
          <w:rFonts w:ascii="Times New Roman" w:hAnsi="Times New Roman"/>
          <w:sz w:val="24"/>
          <w:szCs w:val="24"/>
        </w:rPr>
        <w:t xml:space="preserve"> e </w:t>
      </w:r>
      <w:proofErr w:type="spellStart"/>
      <w:r w:rsidR="003233A6" w:rsidRPr="00C06070">
        <w:rPr>
          <w:rFonts w:ascii="Times New Roman" w:hAnsi="Times New Roman"/>
          <w:i/>
          <w:sz w:val="24"/>
          <w:szCs w:val="24"/>
        </w:rPr>
        <w:t>pharmaceutical</w:t>
      </w:r>
      <w:proofErr w:type="spellEnd"/>
      <w:r w:rsidRPr="00C06070">
        <w:rPr>
          <w:rFonts w:ascii="Times New Roman" w:hAnsi="Times New Roman"/>
          <w:sz w:val="24"/>
          <w:szCs w:val="24"/>
        </w:rPr>
        <w:t>, usando apenas a seleção de artigos, o que resultou em 1</w:t>
      </w:r>
      <w:r w:rsidR="007B1ED9">
        <w:rPr>
          <w:rFonts w:ascii="Times New Roman" w:hAnsi="Times New Roman"/>
          <w:sz w:val="24"/>
          <w:szCs w:val="24"/>
        </w:rPr>
        <w:t>08</w:t>
      </w:r>
      <w:r w:rsidR="003233A6" w:rsidRPr="00C06070">
        <w:rPr>
          <w:rFonts w:ascii="Times New Roman" w:hAnsi="Times New Roman"/>
          <w:sz w:val="24"/>
          <w:szCs w:val="24"/>
        </w:rPr>
        <w:t>5</w:t>
      </w:r>
      <w:r w:rsidRPr="00C06070">
        <w:rPr>
          <w:rFonts w:ascii="Times New Roman" w:hAnsi="Times New Roman"/>
          <w:sz w:val="24"/>
          <w:szCs w:val="24"/>
        </w:rPr>
        <w:t xml:space="preserve"> trabalhos. Com a leitura do título e resumo, foram selecionados os mais direcionados à área de interesse, restringindo a amostra para </w:t>
      </w:r>
      <w:r w:rsidR="007B1ED9">
        <w:rPr>
          <w:rFonts w:ascii="Times New Roman" w:hAnsi="Times New Roman"/>
          <w:sz w:val="24"/>
          <w:szCs w:val="24"/>
        </w:rPr>
        <w:t>806</w:t>
      </w:r>
      <w:r w:rsidRPr="00C06070">
        <w:rPr>
          <w:rFonts w:ascii="Times New Roman" w:hAnsi="Times New Roman"/>
          <w:sz w:val="24"/>
          <w:szCs w:val="24"/>
        </w:rPr>
        <w:t xml:space="preserve"> artigos. </w:t>
      </w:r>
    </w:p>
    <w:p w:rsidR="00277541" w:rsidRPr="001271EE" w:rsidRDefault="00277541" w:rsidP="0022234B">
      <w:pPr>
        <w:spacing w:after="0"/>
        <w:ind w:firstLine="708"/>
        <w:jc w:val="both"/>
        <w:rPr>
          <w:rFonts w:ascii="Times New Roman" w:hAnsi="Times New Roman"/>
          <w:sz w:val="24"/>
          <w:szCs w:val="24"/>
        </w:rPr>
      </w:pPr>
      <w:r w:rsidRPr="00C06070">
        <w:rPr>
          <w:rFonts w:ascii="Times New Roman" w:hAnsi="Times New Roman"/>
          <w:sz w:val="24"/>
          <w:szCs w:val="24"/>
        </w:rPr>
        <w:t xml:space="preserve">A partir desta seleção, foi criado um banco de dados com o auxílio do Microsoft Excel e da ferramenta </w:t>
      </w:r>
      <w:proofErr w:type="spellStart"/>
      <w:proofErr w:type="gramStart"/>
      <w:r w:rsidRPr="00C06070">
        <w:rPr>
          <w:rFonts w:ascii="Times New Roman" w:hAnsi="Times New Roman"/>
          <w:i/>
          <w:sz w:val="24"/>
          <w:szCs w:val="24"/>
        </w:rPr>
        <w:t>HistCite</w:t>
      </w:r>
      <w:proofErr w:type="spellEnd"/>
      <w:proofErr w:type="gramEnd"/>
      <w:r w:rsidRPr="00C06070">
        <w:rPr>
          <w:rFonts w:ascii="Times New Roman" w:hAnsi="Times New Roman"/>
          <w:sz w:val="24"/>
          <w:szCs w:val="24"/>
        </w:rPr>
        <w:t xml:space="preserve">, </w:t>
      </w:r>
      <w:r w:rsidRPr="00C06070">
        <w:rPr>
          <w:rFonts w:ascii="Times New Roman" w:hAnsi="Times New Roman"/>
          <w:i/>
          <w:sz w:val="24"/>
          <w:szCs w:val="24"/>
        </w:rPr>
        <w:t>software</w:t>
      </w:r>
      <w:r w:rsidRPr="00C06070">
        <w:rPr>
          <w:rFonts w:ascii="Times New Roman" w:hAnsi="Times New Roman"/>
          <w:sz w:val="24"/>
          <w:szCs w:val="24"/>
        </w:rPr>
        <w:t xml:space="preserve"> que facilita a visualização dos resultados de buscas realizadas no</w:t>
      </w:r>
      <w:r w:rsidRPr="00C06070">
        <w:rPr>
          <w:rFonts w:ascii="Times New Roman" w:hAnsi="Times New Roman"/>
          <w:i/>
          <w:sz w:val="24"/>
          <w:szCs w:val="24"/>
        </w:rPr>
        <w:t xml:space="preserve"> ISI Web </w:t>
      </w:r>
      <w:proofErr w:type="spellStart"/>
      <w:r w:rsidRPr="00C06070">
        <w:rPr>
          <w:rFonts w:ascii="Times New Roman" w:hAnsi="Times New Roman"/>
          <w:i/>
          <w:sz w:val="24"/>
          <w:szCs w:val="24"/>
        </w:rPr>
        <w:t>of</w:t>
      </w:r>
      <w:proofErr w:type="spellEnd"/>
      <w:r w:rsidRPr="00C06070">
        <w:rPr>
          <w:rFonts w:ascii="Times New Roman" w:hAnsi="Times New Roman"/>
          <w:i/>
          <w:sz w:val="24"/>
          <w:szCs w:val="24"/>
        </w:rPr>
        <w:t xml:space="preserve"> Science</w:t>
      </w:r>
      <w:r w:rsidRPr="00C06070">
        <w:rPr>
          <w:rFonts w:ascii="Times New Roman" w:hAnsi="Times New Roman"/>
          <w:sz w:val="24"/>
          <w:szCs w:val="24"/>
        </w:rPr>
        <w:t xml:space="preserve"> por meio de estrutura de históricos e relacionamentos </w:t>
      </w:r>
      <w:r w:rsidR="004616DF" w:rsidRPr="00C06070">
        <w:rPr>
          <w:rFonts w:ascii="Times New Roman" w:hAnsi="Times New Roman"/>
          <w:sz w:val="24"/>
          <w:szCs w:val="24"/>
        </w:rPr>
        <w:fldChar w:fldCharType="begin" w:fldLock="1"/>
      </w:r>
      <w:r w:rsidR="009112EB">
        <w:rPr>
          <w:rFonts w:ascii="Times New Roman" w:hAnsi="Times New Roman"/>
          <w:sz w:val="24"/>
          <w:szCs w:val="24"/>
        </w:rPr>
        <w:instrText>ADDIN CSL_CITATION { "citationItems" : [ { "id" : "ITEM-1", "itemData" : { "author" : [ { "dropping-particle" : "", "family" : "GARFIELD, E.; PARIS, S. W.; STOCK", "given" : "W. G.", "non-dropping-particle" : "", "parse-names" : false, "suffix" : "" } ], "container-title" : "Information \u2013 Wissenschaft und Praxis", "id" : "ITEM-1", "issue" : "8", "issued" : { "date-parts" : [ [ "2006" ] ] }, "page" : "341-400", "title" : "HistCite TM: A software tool for informetric analysis of citation linkage", "type" : "article-journal", "volume" : "57" }, "uris" : [ "http://www.mendeley.com/documents/?uuid=3406a878-b15e-4fb4-bdaa-e19ccaa413ea", "http://www.mendeley.com/documents/?uuid=4c5f6b44-1850-415b-82bd-be4126dc293e", "http://www.mendeley.com/documents/?uuid=16b589e2-2898-4ea2-8db6-0c47f60b43b6", "http://www.mendeley.com/documents/?uuid=8abfe60f-e003-4cef-abd4-d6d969d76e7b", "http://www.mendeley.com/documents/?uuid=26a90bc1-0560-4b54-9da7-e77ef20f19e8" ] } ], "mendeley" : { "formattedCitation" : "(GARFIELD, E.; PARIS, S. W.; STOCK, 2006)", "plainTextFormattedCitation" : "(GARFIELD, E.; PARIS, S. W.; STOCK, 2006)", "previouslyFormattedCitation" : "(GARFIELD, E.; PARIS, S. W.; STOCK, 2006)" }, "properties" : {  }, "schema" : "https://github.com/citation-style-language/schema/raw/master/csl-citation.json" }</w:instrText>
      </w:r>
      <w:r w:rsidR="004616DF" w:rsidRPr="00C06070">
        <w:rPr>
          <w:rFonts w:ascii="Times New Roman" w:hAnsi="Times New Roman"/>
          <w:sz w:val="24"/>
          <w:szCs w:val="24"/>
        </w:rPr>
        <w:fldChar w:fldCharType="separate"/>
      </w:r>
      <w:r w:rsidR="00AA5399" w:rsidRPr="00C06070">
        <w:rPr>
          <w:rFonts w:ascii="Times New Roman" w:hAnsi="Times New Roman"/>
          <w:noProof/>
          <w:sz w:val="24"/>
          <w:szCs w:val="24"/>
        </w:rPr>
        <w:t>(GARFIELD, E.; PARIS, S. W.; STOCK, 2006)</w:t>
      </w:r>
      <w:r w:rsidR="004616DF" w:rsidRPr="00C06070">
        <w:rPr>
          <w:rFonts w:ascii="Times New Roman" w:hAnsi="Times New Roman"/>
          <w:sz w:val="24"/>
          <w:szCs w:val="24"/>
        </w:rPr>
        <w:fldChar w:fldCharType="end"/>
      </w:r>
      <w:r w:rsidRPr="00C06070">
        <w:rPr>
          <w:rFonts w:ascii="Times New Roman" w:hAnsi="Times New Roman"/>
          <w:sz w:val="24"/>
          <w:szCs w:val="24"/>
        </w:rPr>
        <w:t xml:space="preserve"> Os dados obtidos relacionam nomes dos artigos, principais palavras, artigos por autores, periódicos em que os trabalhos foram publicados e anos de publicação.</w:t>
      </w:r>
    </w:p>
    <w:p w:rsidR="00277541" w:rsidRPr="001271EE" w:rsidRDefault="00277541" w:rsidP="0022234B">
      <w:pPr>
        <w:spacing w:after="0"/>
        <w:ind w:firstLine="708"/>
        <w:jc w:val="both"/>
        <w:rPr>
          <w:rFonts w:ascii="Times New Roman" w:hAnsi="Times New Roman"/>
          <w:sz w:val="24"/>
          <w:szCs w:val="24"/>
        </w:rPr>
      </w:pPr>
      <w:r w:rsidRPr="001271EE">
        <w:rPr>
          <w:rFonts w:ascii="Times New Roman" w:hAnsi="Times New Roman"/>
          <w:sz w:val="24"/>
          <w:szCs w:val="24"/>
        </w:rPr>
        <w:t xml:space="preserve">Pela análise desses dados e pela utilização de tabelas dinâmicas, gráficos e tabelas, foi possível detalhar aspectos da amostra coletada referente ao número de publicações no período, às palavras mais frequentes, aos autores que mais publicaram, aos periódicos que apresentam maior número de publicações e à periodicidade das publicações sobre o tema. </w:t>
      </w:r>
    </w:p>
    <w:p w:rsidR="00277541" w:rsidRDefault="00277541" w:rsidP="007112D1">
      <w:pPr>
        <w:spacing w:after="0"/>
        <w:ind w:firstLine="708"/>
        <w:jc w:val="both"/>
        <w:rPr>
          <w:rFonts w:ascii="Times New Roman" w:hAnsi="Times New Roman"/>
          <w:sz w:val="24"/>
          <w:szCs w:val="24"/>
        </w:rPr>
      </w:pPr>
      <w:r>
        <w:rPr>
          <w:rFonts w:ascii="Times New Roman" w:hAnsi="Times New Roman"/>
          <w:sz w:val="24"/>
          <w:szCs w:val="24"/>
        </w:rPr>
        <w:t>A F</w:t>
      </w:r>
      <w:r w:rsidRPr="001271EE">
        <w:rPr>
          <w:rFonts w:ascii="Times New Roman" w:hAnsi="Times New Roman"/>
          <w:sz w:val="24"/>
          <w:szCs w:val="24"/>
        </w:rPr>
        <w:t xml:space="preserve">igura </w:t>
      </w:r>
      <w:r w:rsidR="00E661F4">
        <w:rPr>
          <w:rFonts w:ascii="Times New Roman" w:hAnsi="Times New Roman"/>
          <w:sz w:val="24"/>
          <w:szCs w:val="24"/>
        </w:rPr>
        <w:t>6</w:t>
      </w:r>
      <w:r w:rsidRPr="001271EE">
        <w:rPr>
          <w:rFonts w:ascii="Times New Roman" w:hAnsi="Times New Roman"/>
          <w:color w:val="FF0000"/>
          <w:sz w:val="24"/>
          <w:szCs w:val="24"/>
        </w:rPr>
        <w:t xml:space="preserve"> </w:t>
      </w:r>
      <w:r w:rsidRPr="001271EE">
        <w:rPr>
          <w:rFonts w:ascii="Times New Roman" w:hAnsi="Times New Roman"/>
          <w:sz w:val="24"/>
          <w:szCs w:val="24"/>
        </w:rPr>
        <w:t>representa as etapas propostas na metodologia e os principais resultados esperados em cada fase.</w:t>
      </w:r>
    </w:p>
    <w:p w:rsidR="007112D1" w:rsidRDefault="007112D1" w:rsidP="007112D1">
      <w:pPr>
        <w:spacing w:after="0"/>
        <w:ind w:firstLine="708"/>
        <w:jc w:val="both"/>
        <w:rPr>
          <w:rFonts w:ascii="Times New Roman" w:hAnsi="Times New Roman"/>
          <w:sz w:val="24"/>
          <w:szCs w:val="24"/>
        </w:rPr>
      </w:pPr>
    </w:p>
    <w:p w:rsidR="0022234B" w:rsidRDefault="00895B8E" w:rsidP="007112D1">
      <w:pPr>
        <w:spacing w:after="0"/>
        <w:ind w:firstLine="708"/>
        <w:jc w:val="center"/>
        <w:rPr>
          <w:rFonts w:ascii="Times New Roman" w:hAnsi="Times New Roman"/>
          <w:sz w:val="24"/>
          <w:szCs w:val="24"/>
        </w:rPr>
      </w:pPr>
      <w:r>
        <w:rPr>
          <w:rFonts w:ascii="Times New Roman" w:hAnsi="Times New Roman"/>
          <w:noProof/>
          <w:sz w:val="24"/>
          <w:szCs w:val="24"/>
          <w:lang w:eastAsia="pt-BR"/>
        </w:rPr>
        <w:drawing>
          <wp:inline distT="0" distB="0" distL="0" distR="0" wp14:anchorId="47B5B8B1" wp14:editId="217B43AD">
            <wp:extent cx="5553075" cy="317318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561223" cy="3177841"/>
                    </a:xfrm>
                    <a:prstGeom prst="rect">
                      <a:avLst/>
                    </a:prstGeom>
                    <a:noFill/>
                    <a:ln w="9525">
                      <a:noFill/>
                      <a:miter lim="800000"/>
                      <a:headEnd/>
                      <a:tailEnd/>
                    </a:ln>
                  </pic:spPr>
                </pic:pic>
              </a:graphicData>
            </a:graphic>
          </wp:inline>
        </w:drawing>
      </w:r>
    </w:p>
    <w:p w:rsidR="007112D1" w:rsidRDefault="007112D1" w:rsidP="0022234B">
      <w:pPr>
        <w:pStyle w:val="Legenda"/>
        <w:spacing w:after="0"/>
        <w:jc w:val="center"/>
        <w:rPr>
          <w:rFonts w:ascii="Times New Roman" w:hAnsi="Times New Roman"/>
          <w:sz w:val="24"/>
          <w:szCs w:val="24"/>
        </w:rPr>
      </w:pPr>
    </w:p>
    <w:p w:rsidR="00277541" w:rsidRPr="00E661F4" w:rsidRDefault="00E661F4" w:rsidP="0022234B">
      <w:pPr>
        <w:pStyle w:val="Legenda"/>
        <w:spacing w:after="0"/>
        <w:jc w:val="center"/>
        <w:rPr>
          <w:rFonts w:ascii="Times New Roman" w:hAnsi="Times New Roman"/>
          <w:sz w:val="24"/>
          <w:szCs w:val="24"/>
        </w:rPr>
      </w:pPr>
      <w:r w:rsidRPr="00E661F4">
        <w:rPr>
          <w:rFonts w:ascii="Times New Roman" w:hAnsi="Times New Roman"/>
          <w:sz w:val="24"/>
          <w:szCs w:val="24"/>
        </w:rPr>
        <w:t xml:space="preserve">Figura </w:t>
      </w:r>
      <w:r w:rsidR="004616DF" w:rsidRPr="00E661F4">
        <w:rPr>
          <w:rFonts w:ascii="Times New Roman" w:hAnsi="Times New Roman"/>
          <w:sz w:val="24"/>
          <w:szCs w:val="24"/>
        </w:rPr>
        <w:fldChar w:fldCharType="begin"/>
      </w:r>
      <w:r w:rsidRPr="00E661F4">
        <w:rPr>
          <w:rFonts w:ascii="Times New Roman" w:hAnsi="Times New Roman"/>
          <w:sz w:val="24"/>
          <w:szCs w:val="24"/>
        </w:rPr>
        <w:instrText xml:space="preserve"> SEQ Figura \* ARABIC </w:instrText>
      </w:r>
      <w:r w:rsidR="004616DF" w:rsidRPr="00E661F4">
        <w:rPr>
          <w:rFonts w:ascii="Times New Roman" w:hAnsi="Times New Roman"/>
          <w:sz w:val="24"/>
          <w:szCs w:val="24"/>
        </w:rPr>
        <w:fldChar w:fldCharType="separate"/>
      </w:r>
      <w:r w:rsidR="008C049C">
        <w:rPr>
          <w:rFonts w:ascii="Times New Roman" w:hAnsi="Times New Roman"/>
          <w:noProof/>
          <w:sz w:val="24"/>
          <w:szCs w:val="24"/>
        </w:rPr>
        <w:t>6</w:t>
      </w:r>
      <w:r w:rsidR="004616DF" w:rsidRPr="00E661F4">
        <w:rPr>
          <w:rFonts w:ascii="Times New Roman" w:hAnsi="Times New Roman"/>
          <w:sz w:val="24"/>
          <w:szCs w:val="24"/>
        </w:rPr>
        <w:fldChar w:fldCharType="end"/>
      </w:r>
      <w:r>
        <w:rPr>
          <w:rFonts w:ascii="Times New Roman" w:hAnsi="Times New Roman"/>
          <w:sz w:val="24"/>
          <w:szCs w:val="24"/>
        </w:rPr>
        <w:t>.</w:t>
      </w:r>
      <w:r w:rsidR="00277541" w:rsidRPr="00E661F4">
        <w:rPr>
          <w:rFonts w:ascii="Times New Roman" w:hAnsi="Times New Roman"/>
          <w:sz w:val="24"/>
          <w:szCs w:val="24"/>
        </w:rPr>
        <w:t xml:space="preserve"> </w:t>
      </w:r>
      <w:r w:rsidR="00277541" w:rsidRPr="00E661F4">
        <w:rPr>
          <w:rFonts w:ascii="Times New Roman" w:hAnsi="Times New Roman"/>
          <w:b w:val="0"/>
          <w:sz w:val="24"/>
          <w:szCs w:val="24"/>
        </w:rPr>
        <w:t>Representação gráfica das fases da metodologia</w:t>
      </w:r>
    </w:p>
    <w:p w:rsidR="00277541" w:rsidRPr="00A120B5" w:rsidRDefault="00277541" w:rsidP="0022234B">
      <w:pPr>
        <w:spacing w:after="0"/>
        <w:ind w:firstLine="708"/>
        <w:jc w:val="both"/>
        <w:rPr>
          <w:rFonts w:ascii="Times New Roman" w:hAnsi="Times New Roman"/>
          <w:sz w:val="20"/>
          <w:szCs w:val="20"/>
        </w:rPr>
      </w:pPr>
    </w:p>
    <w:p w:rsidR="00277541" w:rsidRPr="001271EE" w:rsidRDefault="00277541" w:rsidP="0022234B">
      <w:pPr>
        <w:spacing w:after="0"/>
        <w:ind w:firstLine="708"/>
        <w:jc w:val="both"/>
        <w:rPr>
          <w:rFonts w:ascii="Times New Roman" w:hAnsi="Times New Roman"/>
          <w:sz w:val="24"/>
          <w:szCs w:val="24"/>
        </w:rPr>
      </w:pPr>
      <w:r w:rsidRPr="001271EE">
        <w:rPr>
          <w:rFonts w:ascii="Times New Roman" w:hAnsi="Times New Roman"/>
          <w:sz w:val="24"/>
          <w:szCs w:val="24"/>
        </w:rPr>
        <w:t>A seção seguinte aborda os resultados obtidos pela aplicação dessa metodologia, apresentando a produção acadêmica referente aos temas gestão do conhecimento e</w:t>
      </w:r>
      <w:r>
        <w:rPr>
          <w:rFonts w:ascii="Times New Roman" w:hAnsi="Times New Roman"/>
          <w:sz w:val="24"/>
          <w:szCs w:val="24"/>
        </w:rPr>
        <w:t xml:space="preserve"> da</w:t>
      </w:r>
      <w:r w:rsidRPr="001271EE">
        <w:rPr>
          <w:rFonts w:ascii="Times New Roman" w:hAnsi="Times New Roman"/>
          <w:sz w:val="24"/>
          <w:szCs w:val="24"/>
        </w:rPr>
        <w:t xml:space="preserve"> inovação.</w:t>
      </w:r>
    </w:p>
    <w:p w:rsidR="00277541" w:rsidRPr="001271EE" w:rsidRDefault="00277541" w:rsidP="0022234B">
      <w:pPr>
        <w:spacing w:after="0"/>
        <w:jc w:val="both"/>
        <w:rPr>
          <w:rFonts w:ascii="Times New Roman" w:hAnsi="Times New Roman"/>
          <w:sz w:val="24"/>
          <w:szCs w:val="24"/>
        </w:rPr>
      </w:pPr>
    </w:p>
    <w:p w:rsidR="00277541" w:rsidRDefault="0022234B" w:rsidP="0022234B">
      <w:pPr>
        <w:spacing w:after="0"/>
        <w:jc w:val="both"/>
        <w:rPr>
          <w:rFonts w:ascii="Times New Roman" w:hAnsi="Times New Roman"/>
          <w:b/>
          <w:sz w:val="24"/>
          <w:szCs w:val="24"/>
        </w:rPr>
      </w:pPr>
      <w:r>
        <w:rPr>
          <w:rFonts w:ascii="Times New Roman" w:hAnsi="Times New Roman"/>
          <w:b/>
          <w:sz w:val="24"/>
          <w:szCs w:val="24"/>
        </w:rPr>
        <w:t xml:space="preserve">4. </w:t>
      </w:r>
      <w:r w:rsidR="007112D1">
        <w:rPr>
          <w:rFonts w:ascii="Times New Roman" w:hAnsi="Times New Roman"/>
          <w:b/>
          <w:sz w:val="24"/>
          <w:szCs w:val="24"/>
        </w:rPr>
        <w:t>Resultados e discussão</w:t>
      </w:r>
    </w:p>
    <w:p w:rsidR="0022234B" w:rsidRDefault="0022234B" w:rsidP="0022234B">
      <w:pPr>
        <w:spacing w:after="0"/>
        <w:jc w:val="both"/>
        <w:rPr>
          <w:rFonts w:ascii="Times New Roman" w:hAnsi="Times New Roman"/>
          <w:b/>
          <w:sz w:val="24"/>
          <w:szCs w:val="24"/>
        </w:rPr>
      </w:pPr>
    </w:p>
    <w:p w:rsidR="00BA2D1C" w:rsidRDefault="00BA2D1C" w:rsidP="0022234B">
      <w:pPr>
        <w:spacing w:after="0"/>
        <w:ind w:firstLine="708"/>
        <w:jc w:val="both"/>
        <w:rPr>
          <w:rFonts w:ascii="Times New Roman" w:hAnsi="Times New Roman"/>
          <w:sz w:val="24"/>
          <w:szCs w:val="24"/>
        </w:rPr>
      </w:pPr>
      <w:r>
        <w:rPr>
          <w:rFonts w:ascii="Times New Roman" w:hAnsi="Times New Roman"/>
          <w:sz w:val="24"/>
          <w:szCs w:val="24"/>
        </w:rPr>
        <w:t>As seções a seguir apresentam os resultados principais das pesquisas obtidos pela análise dos bancos de dados gerados e descritos na metodologia.</w:t>
      </w:r>
    </w:p>
    <w:p w:rsidR="00BA2D1C" w:rsidRDefault="00BA2D1C" w:rsidP="0022234B">
      <w:pPr>
        <w:spacing w:after="0"/>
        <w:jc w:val="both"/>
        <w:rPr>
          <w:rFonts w:ascii="Times New Roman" w:hAnsi="Times New Roman"/>
          <w:sz w:val="24"/>
          <w:szCs w:val="24"/>
        </w:rPr>
      </w:pPr>
    </w:p>
    <w:p w:rsidR="00EF08F6" w:rsidRDefault="0022234B" w:rsidP="0022234B">
      <w:pPr>
        <w:spacing w:after="0"/>
        <w:ind w:left="357"/>
        <w:jc w:val="both"/>
        <w:rPr>
          <w:rFonts w:ascii="Times New Roman" w:hAnsi="Times New Roman"/>
          <w:b/>
          <w:sz w:val="24"/>
          <w:szCs w:val="24"/>
        </w:rPr>
      </w:pPr>
      <w:r>
        <w:rPr>
          <w:rFonts w:ascii="Times New Roman" w:hAnsi="Times New Roman"/>
          <w:b/>
          <w:sz w:val="24"/>
          <w:szCs w:val="24"/>
        </w:rPr>
        <w:t xml:space="preserve">4.1. </w:t>
      </w:r>
      <w:r w:rsidR="00BA2D1C">
        <w:rPr>
          <w:rFonts w:ascii="Times New Roman" w:hAnsi="Times New Roman"/>
          <w:b/>
          <w:sz w:val="24"/>
          <w:szCs w:val="24"/>
        </w:rPr>
        <w:t>Principais palavra</w:t>
      </w:r>
      <w:r w:rsidR="00EF08F6">
        <w:rPr>
          <w:rFonts w:ascii="Times New Roman" w:hAnsi="Times New Roman"/>
          <w:b/>
          <w:sz w:val="24"/>
          <w:szCs w:val="24"/>
        </w:rPr>
        <w:t>s</w:t>
      </w:r>
    </w:p>
    <w:p w:rsidR="0022234B" w:rsidRPr="00A24F87" w:rsidRDefault="0022234B" w:rsidP="0022234B">
      <w:pPr>
        <w:spacing w:after="0"/>
        <w:jc w:val="both"/>
        <w:rPr>
          <w:rFonts w:ascii="Times New Roman" w:hAnsi="Times New Roman"/>
          <w:b/>
          <w:sz w:val="24"/>
          <w:szCs w:val="24"/>
        </w:rPr>
      </w:pPr>
    </w:p>
    <w:p w:rsidR="00BA2D1C" w:rsidRDefault="00D02453" w:rsidP="0022234B">
      <w:pPr>
        <w:spacing w:after="0"/>
        <w:ind w:firstLine="357"/>
        <w:jc w:val="both"/>
        <w:rPr>
          <w:rFonts w:ascii="Times New Roman" w:hAnsi="Times New Roman"/>
          <w:sz w:val="24"/>
          <w:szCs w:val="24"/>
        </w:rPr>
      </w:pPr>
      <w:r w:rsidRPr="00E661F4">
        <w:rPr>
          <w:rFonts w:ascii="Times New Roman" w:hAnsi="Times New Roman"/>
          <w:sz w:val="24"/>
          <w:szCs w:val="24"/>
        </w:rPr>
        <w:t xml:space="preserve">Baseado nos </w:t>
      </w:r>
      <w:r w:rsidR="00E661F4" w:rsidRPr="00E661F4">
        <w:rPr>
          <w:rFonts w:ascii="Times New Roman" w:hAnsi="Times New Roman"/>
          <w:sz w:val="24"/>
          <w:szCs w:val="24"/>
        </w:rPr>
        <w:t>806</w:t>
      </w:r>
      <w:r w:rsidR="00BA2D1C" w:rsidRPr="00E661F4">
        <w:rPr>
          <w:rFonts w:ascii="Times New Roman" w:hAnsi="Times New Roman"/>
          <w:sz w:val="24"/>
          <w:szCs w:val="24"/>
        </w:rPr>
        <w:t xml:space="preserve"> artigos</w:t>
      </w:r>
      <w:r w:rsidR="00BA2D1C">
        <w:rPr>
          <w:rFonts w:ascii="Times New Roman" w:hAnsi="Times New Roman"/>
          <w:sz w:val="24"/>
          <w:szCs w:val="24"/>
        </w:rPr>
        <w:t xml:space="preserve"> selecionados</w:t>
      </w:r>
      <w:proofErr w:type="gramStart"/>
      <w:r w:rsidR="00BA2D1C">
        <w:rPr>
          <w:rFonts w:ascii="Times New Roman" w:hAnsi="Times New Roman"/>
          <w:sz w:val="24"/>
          <w:szCs w:val="24"/>
        </w:rPr>
        <w:t xml:space="preserve">, </w:t>
      </w:r>
      <w:r>
        <w:rPr>
          <w:rFonts w:ascii="Times New Roman" w:hAnsi="Times New Roman"/>
          <w:sz w:val="24"/>
          <w:szCs w:val="24"/>
        </w:rPr>
        <w:t>observou-se</w:t>
      </w:r>
      <w:proofErr w:type="gramEnd"/>
      <w:r>
        <w:rPr>
          <w:rFonts w:ascii="Times New Roman" w:hAnsi="Times New Roman"/>
          <w:sz w:val="24"/>
          <w:szCs w:val="24"/>
        </w:rPr>
        <w:t xml:space="preserve"> que </w:t>
      </w:r>
      <w:r w:rsidR="00BA2D1C">
        <w:rPr>
          <w:rFonts w:ascii="Times New Roman" w:hAnsi="Times New Roman"/>
          <w:sz w:val="24"/>
          <w:szCs w:val="24"/>
        </w:rPr>
        <w:t xml:space="preserve">as </w:t>
      </w:r>
      <w:r w:rsidR="00B73AC8">
        <w:rPr>
          <w:rFonts w:ascii="Times New Roman" w:hAnsi="Times New Roman"/>
          <w:sz w:val="24"/>
          <w:szCs w:val="24"/>
        </w:rPr>
        <w:t>seis</w:t>
      </w:r>
      <w:r w:rsidR="00BA2D1C">
        <w:rPr>
          <w:rFonts w:ascii="Times New Roman" w:hAnsi="Times New Roman"/>
          <w:sz w:val="24"/>
          <w:szCs w:val="24"/>
        </w:rPr>
        <w:t xml:space="preserve"> principais palavras que aparece</w:t>
      </w:r>
      <w:r w:rsidR="00DE7457">
        <w:rPr>
          <w:rFonts w:ascii="Times New Roman" w:hAnsi="Times New Roman"/>
          <w:sz w:val="24"/>
          <w:szCs w:val="24"/>
        </w:rPr>
        <w:t>ram</w:t>
      </w:r>
      <w:r w:rsidR="00BA2D1C">
        <w:rPr>
          <w:rFonts w:ascii="Times New Roman" w:hAnsi="Times New Roman"/>
          <w:sz w:val="24"/>
          <w:szCs w:val="24"/>
        </w:rPr>
        <w:t xml:space="preserve"> o maior número de vezes nos artigos selecionados foram </w:t>
      </w:r>
      <w:proofErr w:type="spellStart"/>
      <w:r w:rsidRPr="00D02453">
        <w:rPr>
          <w:rFonts w:ascii="Times New Roman" w:hAnsi="Times New Roman"/>
          <w:i/>
          <w:sz w:val="24"/>
          <w:szCs w:val="24"/>
        </w:rPr>
        <w:t>chiral</w:t>
      </w:r>
      <w:proofErr w:type="spellEnd"/>
      <w:r w:rsidR="00B73AC8">
        <w:rPr>
          <w:rFonts w:ascii="Times New Roman" w:hAnsi="Times New Roman"/>
          <w:i/>
          <w:sz w:val="24"/>
          <w:szCs w:val="24"/>
        </w:rPr>
        <w:t xml:space="preserve">, </w:t>
      </w:r>
      <w:proofErr w:type="spellStart"/>
      <w:r w:rsidR="00B73AC8" w:rsidRPr="00D02453">
        <w:rPr>
          <w:rFonts w:ascii="Times New Roman" w:hAnsi="Times New Roman"/>
          <w:i/>
          <w:sz w:val="24"/>
          <w:szCs w:val="24"/>
        </w:rPr>
        <w:t>capillary</w:t>
      </w:r>
      <w:proofErr w:type="spellEnd"/>
      <w:r w:rsidR="00B73AC8">
        <w:rPr>
          <w:rFonts w:ascii="Times New Roman" w:hAnsi="Times New Roman"/>
          <w:sz w:val="24"/>
          <w:szCs w:val="24"/>
        </w:rPr>
        <w:t xml:space="preserve">, </w:t>
      </w:r>
      <w:proofErr w:type="spellStart"/>
      <w:r w:rsidR="00B73AC8">
        <w:rPr>
          <w:rFonts w:ascii="Times New Roman" w:hAnsi="Times New Roman"/>
          <w:sz w:val="24"/>
          <w:szCs w:val="24"/>
        </w:rPr>
        <w:t>electrophoresis</w:t>
      </w:r>
      <w:proofErr w:type="spellEnd"/>
      <w:r w:rsidR="00B73AC8">
        <w:rPr>
          <w:rFonts w:ascii="Times New Roman" w:hAnsi="Times New Roman"/>
          <w:sz w:val="24"/>
          <w:szCs w:val="24"/>
        </w:rPr>
        <w:t>,</w:t>
      </w:r>
      <w:r w:rsidR="00BA2D1C" w:rsidRPr="00D02453">
        <w:rPr>
          <w:rFonts w:ascii="Times New Roman" w:hAnsi="Times New Roman"/>
          <w:i/>
          <w:sz w:val="24"/>
          <w:szCs w:val="24"/>
        </w:rPr>
        <w:t xml:space="preserve"> </w:t>
      </w:r>
      <w:proofErr w:type="spellStart"/>
      <w:r w:rsidRPr="00D02453">
        <w:rPr>
          <w:rFonts w:ascii="Times New Roman" w:hAnsi="Times New Roman"/>
          <w:i/>
          <w:sz w:val="24"/>
          <w:szCs w:val="24"/>
        </w:rPr>
        <w:t>pharmaceutical</w:t>
      </w:r>
      <w:proofErr w:type="spellEnd"/>
      <w:r w:rsidR="00BA2D1C" w:rsidRPr="00D02453">
        <w:rPr>
          <w:rFonts w:ascii="Times New Roman" w:hAnsi="Times New Roman"/>
          <w:i/>
          <w:sz w:val="24"/>
          <w:szCs w:val="24"/>
        </w:rPr>
        <w:t>,</w:t>
      </w:r>
      <w:r w:rsidR="00B73AC8">
        <w:rPr>
          <w:rFonts w:ascii="Times New Roman" w:hAnsi="Times New Roman"/>
          <w:i/>
          <w:sz w:val="24"/>
          <w:szCs w:val="24"/>
        </w:rPr>
        <w:t xml:space="preserve"> </w:t>
      </w:r>
      <w:proofErr w:type="spellStart"/>
      <w:r w:rsidR="00B73AC8" w:rsidRPr="00D02453">
        <w:rPr>
          <w:rFonts w:ascii="Times New Roman" w:hAnsi="Times New Roman"/>
          <w:i/>
          <w:sz w:val="24"/>
          <w:szCs w:val="24"/>
        </w:rPr>
        <w:t>chromatography</w:t>
      </w:r>
      <w:proofErr w:type="spellEnd"/>
      <w:r w:rsidR="00B73AC8" w:rsidRPr="00D02453">
        <w:rPr>
          <w:rFonts w:ascii="Times New Roman" w:hAnsi="Times New Roman"/>
          <w:i/>
          <w:sz w:val="24"/>
          <w:szCs w:val="24"/>
        </w:rPr>
        <w:t>,</w:t>
      </w:r>
      <w:r w:rsidR="00B73AC8">
        <w:rPr>
          <w:rFonts w:ascii="Times New Roman" w:hAnsi="Times New Roman"/>
          <w:i/>
          <w:sz w:val="24"/>
          <w:szCs w:val="24"/>
        </w:rPr>
        <w:t xml:space="preserve"> </w:t>
      </w:r>
      <w:proofErr w:type="spellStart"/>
      <w:r w:rsidRPr="00D02453">
        <w:rPr>
          <w:rFonts w:ascii="Times New Roman" w:hAnsi="Times New Roman"/>
          <w:i/>
          <w:sz w:val="24"/>
          <w:szCs w:val="24"/>
        </w:rPr>
        <w:t>separation</w:t>
      </w:r>
      <w:proofErr w:type="spellEnd"/>
      <w:r w:rsidR="00DE7457">
        <w:rPr>
          <w:rFonts w:ascii="Times New Roman" w:hAnsi="Times New Roman"/>
          <w:sz w:val="24"/>
          <w:szCs w:val="24"/>
        </w:rPr>
        <w:t>,</w:t>
      </w:r>
      <w:r w:rsidR="00BA2D1C" w:rsidRPr="00D02453">
        <w:rPr>
          <w:rFonts w:ascii="Times New Roman" w:hAnsi="Times New Roman"/>
          <w:sz w:val="24"/>
          <w:szCs w:val="24"/>
        </w:rPr>
        <w:t xml:space="preserve"> o que </w:t>
      </w:r>
      <w:r w:rsidRPr="00D02453">
        <w:rPr>
          <w:rFonts w:ascii="Times New Roman" w:hAnsi="Times New Roman"/>
          <w:sz w:val="24"/>
          <w:szCs w:val="24"/>
        </w:rPr>
        <w:t>reafirma</w:t>
      </w:r>
      <w:r w:rsidR="00BA2D1C" w:rsidRPr="00D02453">
        <w:rPr>
          <w:rFonts w:ascii="Times New Roman" w:hAnsi="Times New Roman"/>
          <w:sz w:val="24"/>
          <w:szCs w:val="24"/>
        </w:rPr>
        <w:t xml:space="preserve"> </w:t>
      </w:r>
      <w:r w:rsidRPr="00D02453">
        <w:rPr>
          <w:rFonts w:ascii="Times New Roman" w:hAnsi="Times New Roman"/>
          <w:sz w:val="24"/>
          <w:szCs w:val="24"/>
        </w:rPr>
        <w:t>a convergência</w:t>
      </w:r>
      <w:r w:rsidR="00BA2D1C" w:rsidRPr="00D02453">
        <w:rPr>
          <w:rFonts w:ascii="Times New Roman" w:hAnsi="Times New Roman"/>
          <w:sz w:val="24"/>
          <w:szCs w:val="24"/>
        </w:rPr>
        <w:t xml:space="preserve"> ao tema central do </w:t>
      </w:r>
      <w:r w:rsidRPr="00D02453">
        <w:rPr>
          <w:rFonts w:ascii="Times New Roman" w:hAnsi="Times New Roman"/>
          <w:sz w:val="24"/>
          <w:szCs w:val="24"/>
        </w:rPr>
        <w:t>estudo</w:t>
      </w:r>
      <w:r w:rsidR="00BA2D1C" w:rsidRPr="00D02453">
        <w:rPr>
          <w:rFonts w:ascii="Times New Roman" w:hAnsi="Times New Roman"/>
          <w:sz w:val="24"/>
          <w:szCs w:val="24"/>
        </w:rPr>
        <w:t>.</w:t>
      </w:r>
    </w:p>
    <w:p w:rsidR="00A94142" w:rsidRDefault="00D02453" w:rsidP="007112D1">
      <w:pPr>
        <w:spacing w:after="0"/>
        <w:ind w:firstLine="357"/>
        <w:jc w:val="both"/>
        <w:rPr>
          <w:rFonts w:ascii="Times New Roman" w:hAnsi="Times New Roman"/>
          <w:sz w:val="24"/>
          <w:szCs w:val="24"/>
        </w:rPr>
      </w:pPr>
      <w:r w:rsidRPr="00FA009C">
        <w:rPr>
          <w:rFonts w:ascii="Times New Roman" w:hAnsi="Times New Roman"/>
          <w:sz w:val="24"/>
          <w:szCs w:val="24"/>
        </w:rPr>
        <w:t>Tais</w:t>
      </w:r>
      <w:r w:rsidR="00BA2D1C" w:rsidRPr="00FA009C">
        <w:rPr>
          <w:rFonts w:ascii="Times New Roman" w:hAnsi="Times New Roman"/>
          <w:sz w:val="24"/>
          <w:szCs w:val="24"/>
        </w:rPr>
        <w:t xml:space="preserve"> </w:t>
      </w:r>
      <w:r w:rsidRPr="00FA009C">
        <w:rPr>
          <w:rFonts w:ascii="Times New Roman" w:hAnsi="Times New Roman"/>
          <w:sz w:val="24"/>
          <w:szCs w:val="24"/>
        </w:rPr>
        <w:t>informações</w:t>
      </w:r>
      <w:r w:rsidR="00BA2D1C" w:rsidRPr="00FA009C">
        <w:rPr>
          <w:rFonts w:ascii="Times New Roman" w:hAnsi="Times New Roman"/>
          <w:sz w:val="24"/>
          <w:szCs w:val="24"/>
        </w:rPr>
        <w:t xml:space="preserve"> foram obtid</w:t>
      </w:r>
      <w:r w:rsidRPr="00FA009C">
        <w:rPr>
          <w:rFonts w:ascii="Times New Roman" w:hAnsi="Times New Roman"/>
          <w:sz w:val="24"/>
          <w:szCs w:val="24"/>
        </w:rPr>
        <w:t>a</w:t>
      </w:r>
      <w:r w:rsidR="00BA2D1C" w:rsidRPr="00FA009C">
        <w:rPr>
          <w:rFonts w:ascii="Times New Roman" w:hAnsi="Times New Roman"/>
          <w:sz w:val="24"/>
          <w:szCs w:val="24"/>
        </w:rPr>
        <w:t xml:space="preserve">s </w:t>
      </w:r>
      <w:r w:rsidRPr="00FA009C">
        <w:rPr>
          <w:rFonts w:ascii="Times New Roman" w:hAnsi="Times New Roman"/>
          <w:sz w:val="24"/>
          <w:szCs w:val="24"/>
        </w:rPr>
        <w:t>utilizando a</w:t>
      </w:r>
      <w:r w:rsidR="00BA2D1C" w:rsidRPr="00FA009C">
        <w:rPr>
          <w:rFonts w:ascii="Times New Roman" w:hAnsi="Times New Roman"/>
          <w:sz w:val="24"/>
          <w:szCs w:val="24"/>
        </w:rPr>
        <w:t xml:space="preserve"> ferramenta </w:t>
      </w:r>
      <w:proofErr w:type="spellStart"/>
      <w:proofErr w:type="gramStart"/>
      <w:r w:rsidR="00BA2D1C" w:rsidRPr="00FA009C">
        <w:rPr>
          <w:rFonts w:ascii="Times New Roman" w:hAnsi="Times New Roman"/>
          <w:sz w:val="24"/>
          <w:szCs w:val="24"/>
        </w:rPr>
        <w:t>HistCite</w:t>
      </w:r>
      <w:proofErr w:type="spellEnd"/>
      <w:proofErr w:type="gramEnd"/>
      <w:r w:rsidR="00BA2D1C" w:rsidRPr="00FA009C">
        <w:rPr>
          <w:rFonts w:ascii="Times New Roman" w:hAnsi="Times New Roman"/>
          <w:sz w:val="24"/>
          <w:szCs w:val="24"/>
        </w:rPr>
        <w:t xml:space="preserve">, e </w:t>
      </w:r>
      <w:r w:rsidRPr="00FA009C">
        <w:rPr>
          <w:rFonts w:ascii="Times New Roman" w:hAnsi="Times New Roman"/>
          <w:sz w:val="24"/>
          <w:szCs w:val="24"/>
        </w:rPr>
        <w:t xml:space="preserve">a </w:t>
      </w:r>
      <w:r w:rsidR="00BA2D1C" w:rsidRPr="00FA009C">
        <w:rPr>
          <w:rFonts w:ascii="Times New Roman" w:hAnsi="Times New Roman"/>
          <w:sz w:val="24"/>
          <w:szCs w:val="24"/>
        </w:rPr>
        <w:t xml:space="preserve">Figura </w:t>
      </w:r>
      <w:r w:rsidR="00E661F4">
        <w:rPr>
          <w:rFonts w:ascii="Times New Roman" w:hAnsi="Times New Roman"/>
          <w:sz w:val="24"/>
          <w:szCs w:val="24"/>
        </w:rPr>
        <w:t>7</w:t>
      </w:r>
      <w:r w:rsidRPr="00FA009C">
        <w:rPr>
          <w:rFonts w:ascii="Times New Roman" w:hAnsi="Times New Roman"/>
          <w:sz w:val="24"/>
          <w:szCs w:val="24"/>
        </w:rPr>
        <w:t xml:space="preserve"> abaixo</w:t>
      </w:r>
      <w:r w:rsidR="00BA2D1C" w:rsidRPr="00FA009C">
        <w:rPr>
          <w:rFonts w:ascii="Times New Roman" w:hAnsi="Times New Roman"/>
          <w:sz w:val="24"/>
          <w:szCs w:val="24"/>
        </w:rPr>
        <w:t xml:space="preserve"> </w:t>
      </w:r>
      <w:r w:rsidRPr="00FA009C">
        <w:rPr>
          <w:rFonts w:ascii="Times New Roman" w:hAnsi="Times New Roman"/>
          <w:sz w:val="24"/>
          <w:szCs w:val="24"/>
        </w:rPr>
        <w:t>demonstra</w:t>
      </w:r>
      <w:r w:rsidR="00BA2D1C" w:rsidRPr="00FA009C">
        <w:rPr>
          <w:rFonts w:ascii="Times New Roman" w:hAnsi="Times New Roman"/>
          <w:sz w:val="24"/>
          <w:szCs w:val="24"/>
        </w:rPr>
        <w:t xml:space="preserve"> a </w:t>
      </w:r>
      <w:r w:rsidRPr="00FA009C">
        <w:rPr>
          <w:rFonts w:ascii="Times New Roman" w:hAnsi="Times New Roman"/>
          <w:sz w:val="24"/>
          <w:szCs w:val="24"/>
        </w:rPr>
        <w:t xml:space="preserve">frequência com </w:t>
      </w:r>
      <w:r w:rsidR="00BA2D1C" w:rsidRPr="00FA009C">
        <w:rPr>
          <w:rFonts w:ascii="Times New Roman" w:hAnsi="Times New Roman"/>
          <w:sz w:val="24"/>
          <w:szCs w:val="24"/>
        </w:rPr>
        <w:t>que essas cinco palavras aparecem nos trabalhos pesquisados.</w:t>
      </w:r>
    </w:p>
    <w:p w:rsidR="007112D1" w:rsidRDefault="007112D1" w:rsidP="007112D1">
      <w:pPr>
        <w:spacing w:after="0"/>
        <w:ind w:firstLine="357"/>
        <w:jc w:val="both"/>
        <w:rPr>
          <w:rFonts w:ascii="Times New Roman" w:hAnsi="Times New Roman"/>
          <w:sz w:val="24"/>
          <w:szCs w:val="24"/>
        </w:rPr>
      </w:pPr>
    </w:p>
    <w:p w:rsidR="0022234B" w:rsidRPr="0022234B" w:rsidRDefault="00895B8E" w:rsidP="0022234B">
      <w:pPr>
        <w:spacing w:after="0"/>
        <w:ind w:firstLine="360"/>
        <w:jc w:val="center"/>
        <w:rPr>
          <w:noProof/>
        </w:rPr>
      </w:pPr>
      <w:r>
        <w:rPr>
          <w:noProof/>
          <w:lang w:eastAsia="pt-BR"/>
        </w:rPr>
        <w:drawing>
          <wp:inline distT="0" distB="0" distL="0" distR="0" wp14:anchorId="10E00CD5" wp14:editId="7E58F7B4">
            <wp:extent cx="4667250" cy="3133725"/>
            <wp:effectExtent l="0" t="0" r="0" b="0"/>
            <wp:docPr id="7"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9" cstate="print"/>
                    <a:srcRect/>
                    <a:stretch>
                      <a:fillRect/>
                    </a:stretch>
                  </pic:blipFill>
                  <pic:spPr bwMode="auto">
                    <a:xfrm>
                      <a:off x="0" y="0"/>
                      <a:ext cx="4667250" cy="3133725"/>
                    </a:xfrm>
                    <a:prstGeom prst="rect">
                      <a:avLst/>
                    </a:prstGeom>
                    <a:noFill/>
                    <a:ln w="9525">
                      <a:noFill/>
                      <a:miter lim="800000"/>
                      <a:headEnd/>
                      <a:tailEnd/>
                    </a:ln>
                  </pic:spPr>
                </pic:pic>
              </a:graphicData>
            </a:graphic>
          </wp:inline>
        </w:drawing>
      </w:r>
    </w:p>
    <w:p w:rsidR="007112D1" w:rsidRDefault="007112D1" w:rsidP="0022234B">
      <w:pPr>
        <w:pStyle w:val="Legenda"/>
        <w:spacing w:after="0"/>
        <w:jc w:val="center"/>
        <w:rPr>
          <w:rFonts w:ascii="Times New Roman" w:hAnsi="Times New Roman"/>
          <w:sz w:val="24"/>
          <w:szCs w:val="24"/>
        </w:rPr>
      </w:pPr>
    </w:p>
    <w:p w:rsidR="00BA2D1C" w:rsidRDefault="00D02453" w:rsidP="0022234B">
      <w:pPr>
        <w:pStyle w:val="Legenda"/>
        <w:spacing w:after="0"/>
        <w:jc w:val="center"/>
        <w:rPr>
          <w:rFonts w:ascii="Times New Roman" w:hAnsi="Times New Roman"/>
          <w:b w:val="0"/>
          <w:sz w:val="24"/>
          <w:szCs w:val="24"/>
        </w:rPr>
      </w:pPr>
      <w:r w:rsidRPr="00D02453">
        <w:rPr>
          <w:rFonts w:ascii="Times New Roman" w:hAnsi="Times New Roman"/>
          <w:sz w:val="24"/>
          <w:szCs w:val="24"/>
        </w:rPr>
        <w:t xml:space="preserve">Figura </w:t>
      </w:r>
      <w:r w:rsidR="004616DF" w:rsidRPr="00D02453">
        <w:rPr>
          <w:rFonts w:ascii="Times New Roman" w:hAnsi="Times New Roman"/>
          <w:sz w:val="24"/>
          <w:szCs w:val="24"/>
        </w:rPr>
        <w:fldChar w:fldCharType="begin"/>
      </w:r>
      <w:r w:rsidRPr="00D02453">
        <w:rPr>
          <w:rFonts w:ascii="Times New Roman" w:hAnsi="Times New Roman"/>
          <w:sz w:val="24"/>
          <w:szCs w:val="24"/>
        </w:rPr>
        <w:instrText xml:space="preserve"> SEQ Figura \* ARABIC </w:instrText>
      </w:r>
      <w:r w:rsidR="004616DF" w:rsidRPr="00D02453">
        <w:rPr>
          <w:rFonts w:ascii="Times New Roman" w:hAnsi="Times New Roman"/>
          <w:sz w:val="24"/>
          <w:szCs w:val="24"/>
        </w:rPr>
        <w:fldChar w:fldCharType="separate"/>
      </w:r>
      <w:r w:rsidR="008C049C">
        <w:rPr>
          <w:rFonts w:ascii="Times New Roman" w:hAnsi="Times New Roman"/>
          <w:noProof/>
          <w:sz w:val="24"/>
          <w:szCs w:val="24"/>
        </w:rPr>
        <w:t>7</w:t>
      </w:r>
      <w:r w:rsidR="004616DF" w:rsidRPr="00D02453">
        <w:rPr>
          <w:rFonts w:ascii="Times New Roman" w:hAnsi="Times New Roman"/>
          <w:sz w:val="24"/>
          <w:szCs w:val="24"/>
        </w:rPr>
        <w:fldChar w:fldCharType="end"/>
      </w:r>
      <w:r w:rsidR="00BA2D1C" w:rsidRPr="00D02453">
        <w:rPr>
          <w:rFonts w:ascii="Times New Roman" w:hAnsi="Times New Roman"/>
          <w:b w:val="0"/>
          <w:sz w:val="24"/>
          <w:szCs w:val="24"/>
        </w:rPr>
        <w:t>– Representação gráfica das palavras</w:t>
      </w:r>
      <w:r>
        <w:rPr>
          <w:rFonts w:ascii="Times New Roman" w:hAnsi="Times New Roman"/>
          <w:b w:val="0"/>
          <w:sz w:val="24"/>
          <w:szCs w:val="24"/>
        </w:rPr>
        <w:t xml:space="preserve"> mais</w:t>
      </w:r>
      <w:r w:rsidRPr="00D02453">
        <w:rPr>
          <w:rFonts w:ascii="Times New Roman" w:hAnsi="Times New Roman"/>
          <w:b w:val="0"/>
          <w:sz w:val="24"/>
          <w:szCs w:val="24"/>
        </w:rPr>
        <w:t xml:space="preserve"> utilizadas nos artigos selecionadas</w:t>
      </w:r>
    </w:p>
    <w:p w:rsidR="00A20FEC" w:rsidRPr="00A20FEC" w:rsidRDefault="00A20FEC" w:rsidP="0022234B">
      <w:pPr>
        <w:spacing w:after="0"/>
      </w:pPr>
    </w:p>
    <w:p w:rsidR="005276C9" w:rsidRDefault="0022234B" w:rsidP="0022234B">
      <w:pPr>
        <w:spacing w:after="0"/>
        <w:ind w:left="708"/>
        <w:jc w:val="both"/>
        <w:rPr>
          <w:rFonts w:ascii="Times New Roman" w:hAnsi="Times New Roman"/>
          <w:b/>
          <w:color w:val="000000"/>
          <w:sz w:val="24"/>
          <w:szCs w:val="24"/>
        </w:rPr>
      </w:pPr>
      <w:r>
        <w:rPr>
          <w:rFonts w:ascii="Times New Roman" w:hAnsi="Times New Roman"/>
          <w:b/>
          <w:sz w:val="24"/>
          <w:szCs w:val="24"/>
        </w:rPr>
        <w:t xml:space="preserve">4.2 </w:t>
      </w:r>
      <w:r w:rsidR="00BA2D1C">
        <w:rPr>
          <w:rFonts w:ascii="Times New Roman" w:hAnsi="Times New Roman"/>
          <w:b/>
          <w:sz w:val="24"/>
          <w:szCs w:val="24"/>
        </w:rPr>
        <w:t xml:space="preserve">Autores que mais publicaram e mais </w:t>
      </w:r>
      <w:r w:rsidR="00BA2D1C" w:rsidRPr="00EF08F6">
        <w:rPr>
          <w:rFonts w:ascii="Times New Roman" w:hAnsi="Times New Roman"/>
          <w:b/>
          <w:color w:val="000000"/>
          <w:sz w:val="24"/>
          <w:szCs w:val="24"/>
        </w:rPr>
        <w:t>citados</w:t>
      </w:r>
    </w:p>
    <w:p w:rsidR="0022234B" w:rsidRPr="00EF08F6" w:rsidRDefault="0022234B" w:rsidP="0022234B">
      <w:pPr>
        <w:spacing w:after="0"/>
        <w:ind w:left="708"/>
        <w:jc w:val="both"/>
        <w:rPr>
          <w:rFonts w:ascii="Times New Roman" w:hAnsi="Times New Roman"/>
          <w:b/>
          <w:color w:val="000000"/>
          <w:sz w:val="24"/>
          <w:szCs w:val="24"/>
        </w:rPr>
      </w:pPr>
    </w:p>
    <w:p w:rsidR="00891132" w:rsidRDefault="00EF08F6" w:rsidP="0022234B">
      <w:pPr>
        <w:spacing w:after="0"/>
        <w:ind w:firstLine="709"/>
        <w:jc w:val="both"/>
        <w:rPr>
          <w:rFonts w:ascii="Times New Roman" w:hAnsi="Times New Roman"/>
          <w:sz w:val="24"/>
          <w:szCs w:val="24"/>
        </w:rPr>
      </w:pPr>
      <w:r>
        <w:rPr>
          <w:rFonts w:ascii="Times New Roman" w:hAnsi="Times New Roman"/>
          <w:color w:val="000000"/>
          <w:sz w:val="24"/>
          <w:szCs w:val="24"/>
        </w:rPr>
        <w:t>Com a aplicação da</w:t>
      </w:r>
      <w:r w:rsidR="00814C62" w:rsidRPr="00EF08F6">
        <w:rPr>
          <w:rFonts w:ascii="Times New Roman" w:hAnsi="Times New Roman"/>
          <w:color w:val="000000"/>
          <w:sz w:val="24"/>
          <w:szCs w:val="24"/>
        </w:rPr>
        <w:t xml:space="preserve"> ferramenta do </w:t>
      </w:r>
      <w:proofErr w:type="spellStart"/>
      <w:proofErr w:type="gramStart"/>
      <w:r w:rsidR="00814C62" w:rsidRPr="00EF08F6">
        <w:rPr>
          <w:rFonts w:ascii="Times New Roman" w:hAnsi="Times New Roman"/>
          <w:color w:val="000000"/>
          <w:sz w:val="24"/>
          <w:szCs w:val="24"/>
        </w:rPr>
        <w:t>HistCite</w:t>
      </w:r>
      <w:proofErr w:type="spellEnd"/>
      <w:proofErr w:type="gramEnd"/>
      <w:r>
        <w:rPr>
          <w:rFonts w:ascii="Times New Roman" w:hAnsi="Times New Roman"/>
          <w:color w:val="000000"/>
          <w:sz w:val="24"/>
          <w:szCs w:val="24"/>
        </w:rPr>
        <w:t xml:space="preserve"> nos artigos selecionados</w:t>
      </w:r>
      <w:r w:rsidR="00814C62" w:rsidRPr="00EF08F6">
        <w:rPr>
          <w:rFonts w:ascii="Times New Roman" w:hAnsi="Times New Roman"/>
          <w:color w:val="000000"/>
          <w:sz w:val="24"/>
          <w:szCs w:val="24"/>
        </w:rPr>
        <w:t xml:space="preserve">, foi possível identificar </w:t>
      </w:r>
      <w:r w:rsidR="000737B5" w:rsidRPr="00EF08F6">
        <w:rPr>
          <w:rFonts w:ascii="Times New Roman" w:hAnsi="Times New Roman"/>
          <w:color w:val="000000"/>
          <w:sz w:val="24"/>
          <w:szCs w:val="24"/>
        </w:rPr>
        <w:t>2</w:t>
      </w:r>
      <w:r w:rsidRPr="00EF08F6">
        <w:rPr>
          <w:rFonts w:ascii="Times New Roman" w:hAnsi="Times New Roman"/>
          <w:color w:val="000000"/>
          <w:sz w:val="24"/>
          <w:szCs w:val="24"/>
        </w:rPr>
        <w:t>204</w:t>
      </w:r>
      <w:r w:rsidR="00814C62" w:rsidRPr="00EF08F6">
        <w:rPr>
          <w:rFonts w:ascii="Times New Roman" w:hAnsi="Times New Roman"/>
          <w:color w:val="000000"/>
          <w:sz w:val="24"/>
          <w:szCs w:val="24"/>
        </w:rPr>
        <w:t xml:space="preserve"> autores</w:t>
      </w:r>
      <w:r w:rsidR="00814C62" w:rsidRPr="00AE7F1B">
        <w:rPr>
          <w:rFonts w:ascii="Times New Roman" w:hAnsi="Times New Roman"/>
          <w:sz w:val="24"/>
          <w:szCs w:val="24"/>
        </w:rPr>
        <w:t xml:space="preserve"> </w:t>
      </w:r>
      <w:r w:rsidR="00814C62" w:rsidRPr="00814C62">
        <w:rPr>
          <w:rFonts w:ascii="Times New Roman" w:hAnsi="Times New Roman"/>
          <w:sz w:val="24"/>
          <w:szCs w:val="24"/>
        </w:rPr>
        <w:t xml:space="preserve">diferentes. </w:t>
      </w:r>
      <w:r w:rsidR="00A20FEC">
        <w:rPr>
          <w:rFonts w:ascii="Times New Roman" w:hAnsi="Times New Roman"/>
          <w:sz w:val="24"/>
          <w:szCs w:val="24"/>
        </w:rPr>
        <w:t>Verificou</w:t>
      </w:r>
      <w:r w:rsidR="00814C62" w:rsidRPr="00814C62">
        <w:rPr>
          <w:rFonts w:ascii="Times New Roman" w:hAnsi="Times New Roman"/>
          <w:sz w:val="24"/>
          <w:szCs w:val="24"/>
        </w:rPr>
        <w:t>-se q</w:t>
      </w:r>
      <w:r w:rsidR="00814C62" w:rsidRPr="000737B5">
        <w:rPr>
          <w:rFonts w:ascii="Times New Roman" w:hAnsi="Times New Roman"/>
          <w:sz w:val="24"/>
          <w:szCs w:val="24"/>
        </w:rPr>
        <w:t>ue</w:t>
      </w:r>
      <w:r w:rsidR="00BA2D1C" w:rsidRPr="000737B5">
        <w:rPr>
          <w:rFonts w:ascii="Times New Roman" w:hAnsi="Times New Roman"/>
          <w:sz w:val="24"/>
          <w:szCs w:val="24"/>
        </w:rPr>
        <w:t xml:space="preserve"> </w:t>
      </w:r>
      <w:r w:rsidR="000737B5" w:rsidRPr="000737B5">
        <w:rPr>
          <w:rFonts w:ascii="Times New Roman" w:hAnsi="Times New Roman"/>
          <w:sz w:val="24"/>
          <w:szCs w:val="24"/>
        </w:rPr>
        <w:t>25</w:t>
      </w:r>
      <w:r w:rsidR="00A20FEC" w:rsidRPr="000737B5">
        <w:rPr>
          <w:rFonts w:ascii="Times New Roman" w:hAnsi="Times New Roman"/>
          <w:sz w:val="24"/>
          <w:szCs w:val="24"/>
        </w:rPr>
        <w:t xml:space="preserve"> dos mesmos</w:t>
      </w:r>
      <w:r w:rsidR="00BA2D1C" w:rsidRPr="000737B5">
        <w:rPr>
          <w:rFonts w:ascii="Times New Roman" w:hAnsi="Times New Roman"/>
          <w:sz w:val="24"/>
          <w:szCs w:val="24"/>
        </w:rPr>
        <w:t xml:space="preserve"> tiveram apenas </w:t>
      </w:r>
      <w:r w:rsidR="003F6B1B">
        <w:rPr>
          <w:rFonts w:ascii="Times New Roman" w:hAnsi="Times New Roman"/>
          <w:sz w:val="24"/>
          <w:szCs w:val="24"/>
        </w:rPr>
        <w:t>duas</w:t>
      </w:r>
      <w:r w:rsidR="003F6B1B" w:rsidRPr="000737B5">
        <w:rPr>
          <w:rFonts w:ascii="Times New Roman" w:hAnsi="Times New Roman"/>
          <w:sz w:val="24"/>
          <w:szCs w:val="24"/>
        </w:rPr>
        <w:t xml:space="preserve"> publicações</w:t>
      </w:r>
      <w:r w:rsidR="00BA2D1C" w:rsidRPr="000737B5">
        <w:rPr>
          <w:rFonts w:ascii="Times New Roman" w:hAnsi="Times New Roman"/>
          <w:sz w:val="24"/>
          <w:szCs w:val="24"/>
        </w:rPr>
        <w:t xml:space="preserve"> cada, enquanto </w:t>
      </w:r>
      <w:r w:rsidR="000737B5" w:rsidRPr="000737B5">
        <w:rPr>
          <w:rFonts w:ascii="Times New Roman" w:hAnsi="Times New Roman"/>
          <w:sz w:val="24"/>
          <w:szCs w:val="24"/>
        </w:rPr>
        <w:t xml:space="preserve">175 </w:t>
      </w:r>
      <w:r w:rsidR="00BA2D1C" w:rsidRPr="000737B5">
        <w:rPr>
          <w:rFonts w:ascii="Times New Roman" w:hAnsi="Times New Roman"/>
          <w:sz w:val="24"/>
          <w:szCs w:val="24"/>
        </w:rPr>
        <w:t xml:space="preserve">autores tiveram mais de </w:t>
      </w:r>
      <w:r w:rsidR="000737B5" w:rsidRPr="000737B5">
        <w:rPr>
          <w:rFonts w:ascii="Times New Roman" w:hAnsi="Times New Roman"/>
          <w:sz w:val="24"/>
          <w:szCs w:val="24"/>
        </w:rPr>
        <w:t>duas</w:t>
      </w:r>
      <w:proofErr w:type="gramStart"/>
      <w:r w:rsidR="000737B5" w:rsidRPr="000737B5">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publicação, dos quais selecionou-se os 10 autores que mais publicaram no período,</w:t>
      </w:r>
      <w:r w:rsidR="00BA2D1C" w:rsidRPr="000737B5">
        <w:rPr>
          <w:rFonts w:ascii="Times New Roman" w:hAnsi="Times New Roman"/>
          <w:sz w:val="24"/>
          <w:szCs w:val="24"/>
        </w:rPr>
        <w:t xml:space="preserve"> </w:t>
      </w:r>
      <w:r w:rsidR="00BA2D1C" w:rsidRPr="00814C62">
        <w:rPr>
          <w:rFonts w:ascii="Times New Roman" w:hAnsi="Times New Roman"/>
          <w:sz w:val="24"/>
          <w:szCs w:val="24"/>
        </w:rPr>
        <w:t xml:space="preserve">conforme a Figura </w:t>
      </w:r>
      <w:r w:rsidR="000737B5">
        <w:rPr>
          <w:rFonts w:ascii="Times New Roman" w:hAnsi="Times New Roman"/>
          <w:sz w:val="24"/>
          <w:szCs w:val="24"/>
        </w:rPr>
        <w:t>8</w:t>
      </w:r>
      <w:r w:rsidR="00A20FEC">
        <w:rPr>
          <w:rFonts w:ascii="Times New Roman" w:hAnsi="Times New Roman"/>
          <w:sz w:val="24"/>
          <w:szCs w:val="24"/>
        </w:rPr>
        <w:t xml:space="preserve">. Os </w:t>
      </w:r>
      <w:r w:rsidR="00BA2D1C" w:rsidRPr="00A20FEC">
        <w:rPr>
          <w:rFonts w:ascii="Times New Roman" w:hAnsi="Times New Roman"/>
          <w:sz w:val="24"/>
          <w:szCs w:val="24"/>
        </w:rPr>
        <w:t xml:space="preserve">autores </w:t>
      </w:r>
      <w:proofErr w:type="spellStart"/>
      <w:r w:rsidR="00A20FEC" w:rsidRPr="00A20FEC">
        <w:rPr>
          <w:rFonts w:ascii="Times New Roman" w:hAnsi="Times New Roman"/>
          <w:sz w:val="24"/>
          <w:szCs w:val="24"/>
        </w:rPr>
        <w:t>Aboul-Enein</w:t>
      </w:r>
      <w:proofErr w:type="spellEnd"/>
      <w:r w:rsidR="00A20FEC" w:rsidRPr="00A20FEC">
        <w:rPr>
          <w:rFonts w:ascii="Times New Roman" w:hAnsi="Times New Roman"/>
          <w:sz w:val="24"/>
          <w:szCs w:val="24"/>
        </w:rPr>
        <w:t xml:space="preserve"> H.Y.</w:t>
      </w:r>
      <w:r w:rsidR="00BA2D1C" w:rsidRPr="00A20FEC">
        <w:rPr>
          <w:rFonts w:ascii="Times New Roman" w:hAnsi="Times New Roman"/>
          <w:sz w:val="24"/>
          <w:szCs w:val="24"/>
        </w:rPr>
        <w:t xml:space="preserve">, </w:t>
      </w:r>
      <w:proofErr w:type="spellStart"/>
      <w:r w:rsidR="000737B5" w:rsidRPr="00A20FEC">
        <w:rPr>
          <w:rFonts w:ascii="Times New Roman" w:hAnsi="Times New Roman"/>
          <w:sz w:val="24"/>
          <w:szCs w:val="24"/>
        </w:rPr>
        <w:t>Fanali</w:t>
      </w:r>
      <w:proofErr w:type="spellEnd"/>
      <w:r w:rsidR="000737B5" w:rsidRPr="00A20FEC">
        <w:rPr>
          <w:rFonts w:ascii="Times New Roman" w:hAnsi="Times New Roman"/>
          <w:sz w:val="24"/>
          <w:szCs w:val="24"/>
        </w:rPr>
        <w:t xml:space="preserve"> S</w:t>
      </w:r>
      <w:r w:rsidR="000737B5">
        <w:rPr>
          <w:rFonts w:ascii="Times New Roman" w:hAnsi="Times New Roman"/>
          <w:sz w:val="24"/>
          <w:szCs w:val="24"/>
        </w:rPr>
        <w:t>.,</w:t>
      </w:r>
      <w:r w:rsidR="000737B5" w:rsidRPr="00A20FEC">
        <w:rPr>
          <w:rFonts w:ascii="Times New Roman" w:hAnsi="Times New Roman"/>
          <w:sz w:val="24"/>
          <w:szCs w:val="24"/>
        </w:rPr>
        <w:t xml:space="preserve"> </w:t>
      </w:r>
      <w:proofErr w:type="spellStart"/>
      <w:r w:rsidR="00A20FEC" w:rsidRPr="00A20FEC">
        <w:rPr>
          <w:rFonts w:ascii="Times New Roman" w:hAnsi="Times New Roman"/>
          <w:sz w:val="24"/>
          <w:szCs w:val="24"/>
        </w:rPr>
        <w:t>Mangelings</w:t>
      </w:r>
      <w:proofErr w:type="spellEnd"/>
      <w:r w:rsidR="00A20FEC" w:rsidRPr="00A20FEC">
        <w:rPr>
          <w:rFonts w:ascii="Times New Roman" w:hAnsi="Times New Roman"/>
          <w:sz w:val="24"/>
          <w:szCs w:val="24"/>
        </w:rPr>
        <w:t xml:space="preserve"> </w:t>
      </w:r>
      <w:proofErr w:type="gramStart"/>
      <w:r w:rsidR="00A20FEC" w:rsidRPr="00A20FEC">
        <w:rPr>
          <w:rFonts w:ascii="Times New Roman" w:hAnsi="Times New Roman"/>
          <w:sz w:val="24"/>
          <w:szCs w:val="24"/>
        </w:rPr>
        <w:t>D.</w:t>
      </w:r>
      <w:proofErr w:type="gramEnd"/>
      <w:r w:rsidR="00A20FEC" w:rsidRPr="00A20FEC">
        <w:rPr>
          <w:rFonts w:ascii="Times New Roman" w:hAnsi="Times New Roman"/>
          <w:sz w:val="24"/>
          <w:szCs w:val="24"/>
        </w:rPr>
        <w:t>,</w:t>
      </w:r>
      <w:r w:rsidR="00BA2D1C" w:rsidRPr="00A20FEC">
        <w:rPr>
          <w:rFonts w:ascii="Times New Roman" w:hAnsi="Times New Roman"/>
          <w:sz w:val="24"/>
          <w:szCs w:val="24"/>
        </w:rPr>
        <w:t xml:space="preserve"> </w:t>
      </w:r>
      <w:r w:rsidR="00A20FEC" w:rsidRPr="00A20FEC">
        <w:rPr>
          <w:rFonts w:ascii="Times New Roman" w:hAnsi="Times New Roman"/>
          <w:sz w:val="24"/>
          <w:szCs w:val="24"/>
        </w:rPr>
        <w:t xml:space="preserve">Vander </w:t>
      </w:r>
      <w:proofErr w:type="spellStart"/>
      <w:r w:rsidR="00A20FEC" w:rsidRPr="00A20FEC">
        <w:rPr>
          <w:rFonts w:ascii="Times New Roman" w:hAnsi="Times New Roman"/>
          <w:sz w:val="24"/>
          <w:szCs w:val="24"/>
        </w:rPr>
        <w:t>Heyden</w:t>
      </w:r>
      <w:proofErr w:type="spellEnd"/>
      <w:r w:rsidR="00A20FEC" w:rsidRPr="00A20FEC">
        <w:rPr>
          <w:rFonts w:ascii="Times New Roman" w:hAnsi="Times New Roman"/>
          <w:sz w:val="24"/>
          <w:szCs w:val="24"/>
        </w:rPr>
        <w:t xml:space="preserve"> Y. </w:t>
      </w:r>
      <w:proofErr w:type="gramStart"/>
      <w:r w:rsidR="00A20FEC" w:rsidRPr="00A20FEC">
        <w:rPr>
          <w:rFonts w:ascii="Times New Roman" w:hAnsi="Times New Roman"/>
          <w:sz w:val="24"/>
          <w:szCs w:val="24"/>
        </w:rPr>
        <w:t>e</w:t>
      </w:r>
      <w:proofErr w:type="gramEnd"/>
      <w:r w:rsidR="000737B5">
        <w:rPr>
          <w:rFonts w:ascii="Times New Roman" w:hAnsi="Times New Roman"/>
          <w:sz w:val="24"/>
          <w:szCs w:val="24"/>
        </w:rPr>
        <w:t xml:space="preserve"> </w:t>
      </w:r>
      <w:proofErr w:type="spellStart"/>
      <w:r w:rsidR="000737B5" w:rsidRPr="000737B5">
        <w:rPr>
          <w:rFonts w:ascii="Times New Roman" w:hAnsi="Times New Roman"/>
          <w:sz w:val="24"/>
          <w:szCs w:val="24"/>
        </w:rPr>
        <w:t>Veuthey</w:t>
      </w:r>
      <w:proofErr w:type="spellEnd"/>
      <w:r w:rsidR="000737B5" w:rsidRPr="000737B5">
        <w:rPr>
          <w:rFonts w:ascii="Times New Roman" w:hAnsi="Times New Roman"/>
          <w:sz w:val="24"/>
          <w:szCs w:val="24"/>
        </w:rPr>
        <w:t xml:space="preserve"> J</w:t>
      </w:r>
      <w:r w:rsidR="000737B5">
        <w:rPr>
          <w:rFonts w:ascii="Times New Roman" w:hAnsi="Times New Roman"/>
          <w:sz w:val="24"/>
          <w:szCs w:val="24"/>
        </w:rPr>
        <w:t>.</w:t>
      </w:r>
      <w:r w:rsidR="000737B5" w:rsidRPr="000737B5">
        <w:rPr>
          <w:rFonts w:ascii="Times New Roman" w:hAnsi="Times New Roman"/>
          <w:sz w:val="24"/>
          <w:szCs w:val="24"/>
        </w:rPr>
        <w:t>L</w:t>
      </w:r>
      <w:r w:rsidR="000737B5">
        <w:rPr>
          <w:rFonts w:ascii="Times New Roman" w:hAnsi="Times New Roman"/>
          <w:sz w:val="24"/>
          <w:szCs w:val="24"/>
        </w:rPr>
        <w:t>.</w:t>
      </w:r>
      <w:r w:rsidR="00A20FEC" w:rsidRPr="00A20FEC">
        <w:rPr>
          <w:rFonts w:ascii="Times New Roman" w:hAnsi="Times New Roman"/>
          <w:sz w:val="24"/>
          <w:szCs w:val="24"/>
        </w:rPr>
        <w:t xml:space="preserve"> </w:t>
      </w:r>
      <w:r w:rsidR="00A20FEC">
        <w:rPr>
          <w:rFonts w:ascii="Times New Roman" w:hAnsi="Times New Roman"/>
          <w:sz w:val="24"/>
          <w:szCs w:val="24"/>
        </w:rPr>
        <w:t xml:space="preserve">destacaram-se </w:t>
      </w:r>
      <w:r w:rsidR="00BA2D1C" w:rsidRPr="00A20FEC">
        <w:rPr>
          <w:rFonts w:ascii="Times New Roman" w:hAnsi="Times New Roman"/>
          <w:sz w:val="24"/>
          <w:szCs w:val="24"/>
        </w:rPr>
        <w:t xml:space="preserve">como </w:t>
      </w:r>
      <w:r w:rsidR="00A20FEC">
        <w:rPr>
          <w:rFonts w:ascii="Times New Roman" w:hAnsi="Times New Roman"/>
          <w:sz w:val="24"/>
          <w:szCs w:val="24"/>
        </w:rPr>
        <w:t>sendo aqueles que</w:t>
      </w:r>
      <w:r w:rsidR="00BA2D1C" w:rsidRPr="00A20FEC">
        <w:rPr>
          <w:rFonts w:ascii="Times New Roman" w:hAnsi="Times New Roman"/>
          <w:sz w:val="24"/>
          <w:szCs w:val="24"/>
        </w:rPr>
        <w:t xml:space="preserve"> mais </w:t>
      </w:r>
      <w:r w:rsidR="00A20FEC">
        <w:rPr>
          <w:rFonts w:ascii="Times New Roman" w:hAnsi="Times New Roman"/>
          <w:sz w:val="24"/>
          <w:szCs w:val="24"/>
        </w:rPr>
        <w:t>tiveram publicações relacionadas ao tema,</w:t>
      </w:r>
      <w:r w:rsidR="00BA2D1C" w:rsidRPr="00A20FEC">
        <w:rPr>
          <w:rFonts w:ascii="Times New Roman" w:hAnsi="Times New Roman"/>
          <w:sz w:val="24"/>
          <w:szCs w:val="24"/>
        </w:rPr>
        <w:t xml:space="preserve"> </w:t>
      </w:r>
      <w:r w:rsidR="00A20FEC" w:rsidRPr="00A20FEC">
        <w:rPr>
          <w:rFonts w:ascii="Times New Roman" w:hAnsi="Times New Roman"/>
          <w:sz w:val="24"/>
          <w:szCs w:val="24"/>
        </w:rPr>
        <w:t>2</w:t>
      </w:r>
      <w:r w:rsidR="000737B5">
        <w:rPr>
          <w:rFonts w:ascii="Times New Roman" w:hAnsi="Times New Roman"/>
          <w:sz w:val="24"/>
          <w:szCs w:val="24"/>
        </w:rPr>
        <w:t>5</w:t>
      </w:r>
      <w:r w:rsidR="00A20FEC" w:rsidRPr="00A20FEC">
        <w:rPr>
          <w:rFonts w:ascii="Times New Roman" w:hAnsi="Times New Roman"/>
          <w:sz w:val="24"/>
          <w:szCs w:val="24"/>
        </w:rPr>
        <w:t xml:space="preserve">, </w:t>
      </w:r>
      <w:r w:rsidR="000737B5">
        <w:rPr>
          <w:rFonts w:ascii="Times New Roman" w:hAnsi="Times New Roman"/>
          <w:sz w:val="24"/>
          <w:szCs w:val="24"/>
        </w:rPr>
        <w:t>23</w:t>
      </w:r>
      <w:r w:rsidR="00BA2D1C" w:rsidRPr="00A20FEC">
        <w:rPr>
          <w:rFonts w:ascii="Times New Roman" w:hAnsi="Times New Roman"/>
          <w:sz w:val="24"/>
          <w:szCs w:val="24"/>
        </w:rPr>
        <w:t>, 1</w:t>
      </w:r>
      <w:r w:rsidR="000737B5">
        <w:rPr>
          <w:rFonts w:ascii="Times New Roman" w:hAnsi="Times New Roman"/>
          <w:sz w:val="24"/>
          <w:szCs w:val="24"/>
        </w:rPr>
        <w:t>9, 17</w:t>
      </w:r>
      <w:r w:rsidR="00BA2D1C" w:rsidRPr="00A20FEC">
        <w:rPr>
          <w:rFonts w:ascii="Times New Roman" w:hAnsi="Times New Roman"/>
          <w:sz w:val="24"/>
          <w:szCs w:val="24"/>
        </w:rPr>
        <w:t xml:space="preserve"> e </w:t>
      </w:r>
      <w:r w:rsidR="00A20FEC" w:rsidRPr="00A20FEC">
        <w:rPr>
          <w:rFonts w:ascii="Times New Roman" w:hAnsi="Times New Roman"/>
          <w:sz w:val="24"/>
          <w:szCs w:val="24"/>
        </w:rPr>
        <w:t>1</w:t>
      </w:r>
      <w:r w:rsidR="000737B5">
        <w:rPr>
          <w:rFonts w:ascii="Times New Roman" w:hAnsi="Times New Roman"/>
          <w:sz w:val="24"/>
          <w:szCs w:val="24"/>
        </w:rPr>
        <w:t>5</w:t>
      </w:r>
      <w:r>
        <w:rPr>
          <w:rFonts w:ascii="Times New Roman" w:hAnsi="Times New Roman"/>
          <w:sz w:val="24"/>
          <w:szCs w:val="24"/>
        </w:rPr>
        <w:t xml:space="preserve">, </w:t>
      </w:r>
      <w:r w:rsidR="00A20FEC">
        <w:rPr>
          <w:rFonts w:ascii="Times New Roman" w:hAnsi="Times New Roman"/>
          <w:sz w:val="24"/>
          <w:szCs w:val="24"/>
        </w:rPr>
        <w:t>respectivamente</w:t>
      </w:r>
      <w:r w:rsidR="00891132">
        <w:rPr>
          <w:rFonts w:ascii="Times New Roman" w:hAnsi="Times New Roman"/>
          <w:sz w:val="24"/>
          <w:szCs w:val="24"/>
        </w:rPr>
        <w:t>.</w:t>
      </w:r>
    </w:p>
    <w:p w:rsidR="00BA2D1C" w:rsidRPr="00814C62" w:rsidRDefault="00895B8E" w:rsidP="0022234B">
      <w:pPr>
        <w:spacing w:after="0"/>
        <w:ind w:firstLine="709"/>
        <w:jc w:val="both"/>
        <w:rPr>
          <w:rFonts w:ascii="Times New Roman" w:hAnsi="Times New Roman"/>
          <w:sz w:val="24"/>
          <w:szCs w:val="24"/>
        </w:rPr>
      </w:pPr>
      <w:r>
        <w:rPr>
          <w:noProof/>
          <w:lang w:eastAsia="pt-BR"/>
        </w:rPr>
        <w:lastRenderedPageBreak/>
        <w:drawing>
          <wp:inline distT="0" distB="0" distL="0" distR="0" wp14:anchorId="3623BAAA" wp14:editId="13BCD26B">
            <wp:extent cx="4276725" cy="2914650"/>
            <wp:effectExtent l="0" t="0" r="0" b="0"/>
            <wp:docPr id="8"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20" cstate="print"/>
                    <a:srcRect/>
                    <a:stretch>
                      <a:fillRect/>
                    </a:stretch>
                  </pic:blipFill>
                  <pic:spPr bwMode="auto">
                    <a:xfrm>
                      <a:off x="0" y="0"/>
                      <a:ext cx="4276725" cy="2914650"/>
                    </a:xfrm>
                    <a:prstGeom prst="rect">
                      <a:avLst/>
                    </a:prstGeom>
                    <a:noFill/>
                    <a:ln w="9525">
                      <a:noFill/>
                      <a:miter lim="800000"/>
                      <a:headEnd/>
                      <a:tailEnd/>
                    </a:ln>
                  </pic:spPr>
                </pic:pic>
              </a:graphicData>
            </a:graphic>
          </wp:inline>
        </w:drawing>
      </w:r>
    </w:p>
    <w:p w:rsidR="007112D1" w:rsidRDefault="007112D1" w:rsidP="0022234B">
      <w:pPr>
        <w:pStyle w:val="Legenda"/>
        <w:spacing w:after="0"/>
        <w:jc w:val="center"/>
        <w:rPr>
          <w:rFonts w:ascii="Times New Roman" w:hAnsi="Times New Roman"/>
          <w:sz w:val="24"/>
          <w:szCs w:val="24"/>
        </w:rPr>
      </w:pPr>
    </w:p>
    <w:p w:rsidR="00814C62" w:rsidRDefault="00814C62" w:rsidP="0022234B">
      <w:pPr>
        <w:pStyle w:val="Legenda"/>
        <w:spacing w:after="0"/>
        <w:jc w:val="center"/>
        <w:rPr>
          <w:rFonts w:ascii="Times New Roman" w:hAnsi="Times New Roman"/>
          <w:b w:val="0"/>
          <w:sz w:val="24"/>
          <w:szCs w:val="24"/>
        </w:rPr>
      </w:pPr>
      <w:r w:rsidRPr="00814C62">
        <w:rPr>
          <w:rFonts w:ascii="Times New Roman" w:hAnsi="Times New Roman"/>
          <w:sz w:val="24"/>
          <w:szCs w:val="24"/>
        </w:rPr>
        <w:t xml:space="preserve">Figura </w:t>
      </w:r>
      <w:r w:rsidR="004616DF" w:rsidRPr="00814C62">
        <w:rPr>
          <w:rFonts w:ascii="Times New Roman" w:hAnsi="Times New Roman"/>
          <w:sz w:val="24"/>
          <w:szCs w:val="24"/>
        </w:rPr>
        <w:fldChar w:fldCharType="begin"/>
      </w:r>
      <w:r w:rsidRPr="00814C62">
        <w:rPr>
          <w:rFonts w:ascii="Times New Roman" w:hAnsi="Times New Roman"/>
          <w:sz w:val="24"/>
          <w:szCs w:val="24"/>
        </w:rPr>
        <w:instrText xml:space="preserve"> SEQ Figura \* ARABIC </w:instrText>
      </w:r>
      <w:r w:rsidR="004616DF" w:rsidRPr="00814C62">
        <w:rPr>
          <w:rFonts w:ascii="Times New Roman" w:hAnsi="Times New Roman"/>
          <w:sz w:val="24"/>
          <w:szCs w:val="24"/>
        </w:rPr>
        <w:fldChar w:fldCharType="separate"/>
      </w:r>
      <w:r w:rsidR="008C049C">
        <w:rPr>
          <w:rFonts w:ascii="Times New Roman" w:hAnsi="Times New Roman"/>
          <w:noProof/>
          <w:sz w:val="24"/>
          <w:szCs w:val="24"/>
        </w:rPr>
        <w:t>8</w:t>
      </w:r>
      <w:r w:rsidR="004616DF" w:rsidRPr="00814C62">
        <w:rPr>
          <w:rFonts w:ascii="Times New Roman" w:hAnsi="Times New Roman"/>
          <w:sz w:val="24"/>
          <w:szCs w:val="24"/>
        </w:rPr>
        <w:fldChar w:fldCharType="end"/>
      </w:r>
      <w:r w:rsidR="0022234B">
        <w:rPr>
          <w:rFonts w:ascii="Times New Roman" w:hAnsi="Times New Roman"/>
          <w:sz w:val="24"/>
          <w:szCs w:val="24"/>
        </w:rPr>
        <w:t>.</w:t>
      </w:r>
      <w:r w:rsidRPr="00814C62">
        <w:rPr>
          <w:rFonts w:ascii="Times New Roman" w:hAnsi="Times New Roman"/>
          <w:sz w:val="24"/>
          <w:szCs w:val="24"/>
        </w:rPr>
        <w:t xml:space="preserve"> </w:t>
      </w:r>
      <w:r w:rsidRPr="00814C62">
        <w:rPr>
          <w:rFonts w:ascii="Times New Roman" w:hAnsi="Times New Roman"/>
          <w:b w:val="0"/>
          <w:sz w:val="24"/>
          <w:szCs w:val="24"/>
        </w:rPr>
        <w:t>Quantidade de p</w:t>
      </w:r>
      <w:r w:rsidR="00BA2D1C" w:rsidRPr="00814C62">
        <w:rPr>
          <w:rFonts w:ascii="Times New Roman" w:hAnsi="Times New Roman"/>
          <w:b w:val="0"/>
          <w:sz w:val="24"/>
          <w:szCs w:val="24"/>
        </w:rPr>
        <w:t>ublicações por autor</w:t>
      </w:r>
    </w:p>
    <w:p w:rsidR="0042145D" w:rsidRPr="0042145D" w:rsidRDefault="0042145D" w:rsidP="0022234B">
      <w:pPr>
        <w:spacing w:after="0"/>
      </w:pPr>
    </w:p>
    <w:p w:rsidR="00BA2D1C" w:rsidRDefault="00BA2D1C" w:rsidP="0022234B">
      <w:pPr>
        <w:spacing w:after="0"/>
        <w:jc w:val="both"/>
        <w:rPr>
          <w:rFonts w:ascii="Times New Roman" w:hAnsi="Times New Roman"/>
          <w:sz w:val="24"/>
          <w:szCs w:val="24"/>
        </w:rPr>
      </w:pPr>
      <w:r>
        <w:rPr>
          <w:rFonts w:ascii="Times New Roman" w:hAnsi="Times New Roman"/>
          <w:sz w:val="24"/>
          <w:szCs w:val="24"/>
        </w:rPr>
        <w:tab/>
      </w:r>
      <w:r w:rsidR="00891132">
        <w:rPr>
          <w:rFonts w:ascii="Times New Roman" w:hAnsi="Times New Roman"/>
          <w:sz w:val="24"/>
          <w:szCs w:val="24"/>
        </w:rPr>
        <w:t>Após a análise da quantida</w:t>
      </w:r>
      <w:r w:rsidR="00EF08F6">
        <w:rPr>
          <w:rFonts w:ascii="Times New Roman" w:hAnsi="Times New Roman"/>
          <w:sz w:val="24"/>
          <w:szCs w:val="24"/>
        </w:rPr>
        <w:t>de de citações, observou-se que, apesar do autor</w:t>
      </w:r>
      <w:r w:rsidR="00EF08F6" w:rsidRPr="00EF08F6">
        <w:rPr>
          <w:rFonts w:ascii="Times New Roman" w:hAnsi="Times New Roman"/>
          <w:sz w:val="24"/>
          <w:szCs w:val="24"/>
        </w:rPr>
        <w:t xml:space="preserve"> </w:t>
      </w:r>
      <w:proofErr w:type="spellStart"/>
      <w:r w:rsidR="00EF08F6" w:rsidRPr="00A20FEC">
        <w:rPr>
          <w:rFonts w:ascii="Times New Roman" w:hAnsi="Times New Roman"/>
          <w:sz w:val="24"/>
          <w:szCs w:val="24"/>
        </w:rPr>
        <w:t>Aboul-Enein</w:t>
      </w:r>
      <w:proofErr w:type="spellEnd"/>
      <w:r w:rsidR="00EF08F6" w:rsidRPr="00A20FEC">
        <w:rPr>
          <w:rFonts w:ascii="Times New Roman" w:hAnsi="Times New Roman"/>
          <w:sz w:val="24"/>
          <w:szCs w:val="24"/>
        </w:rPr>
        <w:t xml:space="preserve"> H.Y.</w:t>
      </w:r>
      <w:r w:rsidR="00EF08F6">
        <w:rPr>
          <w:rFonts w:ascii="Times New Roman" w:hAnsi="Times New Roman"/>
          <w:sz w:val="24"/>
          <w:szCs w:val="24"/>
        </w:rPr>
        <w:t xml:space="preserve"> </w:t>
      </w:r>
      <w:proofErr w:type="gramStart"/>
      <w:r w:rsidR="00EF08F6">
        <w:rPr>
          <w:rFonts w:ascii="Times New Roman" w:hAnsi="Times New Roman"/>
          <w:sz w:val="24"/>
          <w:szCs w:val="24"/>
        </w:rPr>
        <w:t>ter</w:t>
      </w:r>
      <w:proofErr w:type="gramEnd"/>
      <w:r w:rsidR="00EF08F6">
        <w:rPr>
          <w:rFonts w:ascii="Times New Roman" w:hAnsi="Times New Roman"/>
          <w:sz w:val="24"/>
          <w:szCs w:val="24"/>
        </w:rPr>
        <w:t xml:space="preserve"> sido aquele com a maior quantidade de publicações, </w:t>
      </w:r>
      <w:r w:rsidR="00891132">
        <w:rPr>
          <w:rFonts w:ascii="Times New Roman" w:hAnsi="Times New Roman"/>
          <w:sz w:val="24"/>
          <w:szCs w:val="24"/>
        </w:rPr>
        <w:t xml:space="preserve">o </w:t>
      </w:r>
      <w:r w:rsidR="00891132" w:rsidRPr="00A24F87">
        <w:rPr>
          <w:rFonts w:ascii="Times New Roman" w:hAnsi="Times New Roman"/>
          <w:sz w:val="24"/>
          <w:szCs w:val="24"/>
        </w:rPr>
        <w:t xml:space="preserve">autor </w:t>
      </w:r>
      <w:proofErr w:type="spellStart"/>
      <w:r w:rsidR="0042145D" w:rsidRPr="00A24F87">
        <w:rPr>
          <w:rFonts w:ascii="Times New Roman" w:hAnsi="Times New Roman"/>
          <w:sz w:val="24"/>
          <w:szCs w:val="24"/>
        </w:rPr>
        <w:t>Fanali</w:t>
      </w:r>
      <w:proofErr w:type="spellEnd"/>
      <w:r w:rsidR="0042145D" w:rsidRPr="00A24F87">
        <w:rPr>
          <w:rFonts w:ascii="Times New Roman" w:hAnsi="Times New Roman"/>
          <w:sz w:val="24"/>
          <w:szCs w:val="24"/>
        </w:rPr>
        <w:t xml:space="preserve"> S. </w:t>
      </w:r>
      <w:r w:rsidR="00891132" w:rsidRPr="00A24F87">
        <w:rPr>
          <w:rFonts w:ascii="Times New Roman" w:hAnsi="Times New Roman"/>
          <w:sz w:val="24"/>
          <w:szCs w:val="24"/>
        </w:rPr>
        <w:t>foi</w:t>
      </w:r>
      <w:r w:rsidR="00891132">
        <w:rPr>
          <w:rFonts w:ascii="Times New Roman" w:hAnsi="Times New Roman"/>
          <w:sz w:val="24"/>
          <w:szCs w:val="24"/>
        </w:rPr>
        <w:t xml:space="preserve"> classificado como aquel</w:t>
      </w:r>
      <w:r w:rsidR="0042145D">
        <w:rPr>
          <w:rFonts w:ascii="Times New Roman" w:hAnsi="Times New Roman"/>
          <w:sz w:val="24"/>
          <w:szCs w:val="24"/>
        </w:rPr>
        <w:t>e</w:t>
      </w:r>
      <w:r w:rsidR="00891132">
        <w:rPr>
          <w:rFonts w:ascii="Times New Roman" w:hAnsi="Times New Roman"/>
          <w:sz w:val="24"/>
          <w:szCs w:val="24"/>
        </w:rPr>
        <w:t xml:space="preserve"> mais citado em artigos</w:t>
      </w:r>
      <w:r w:rsidR="00EF08F6">
        <w:rPr>
          <w:rFonts w:ascii="Times New Roman" w:hAnsi="Times New Roman"/>
          <w:sz w:val="24"/>
          <w:szCs w:val="24"/>
        </w:rPr>
        <w:t xml:space="preserve"> relacionados ao tema presentes no</w:t>
      </w:r>
      <w:r w:rsidR="00891132">
        <w:rPr>
          <w:rFonts w:ascii="Times New Roman" w:hAnsi="Times New Roman"/>
          <w:sz w:val="24"/>
          <w:szCs w:val="24"/>
        </w:rPr>
        <w:t xml:space="preserve"> </w:t>
      </w:r>
      <w:r w:rsidR="00EF08F6" w:rsidRPr="00C06070">
        <w:rPr>
          <w:rFonts w:ascii="Times New Roman" w:hAnsi="Times New Roman"/>
          <w:i/>
          <w:sz w:val="24"/>
          <w:szCs w:val="24"/>
        </w:rPr>
        <w:t xml:space="preserve">ISI Web </w:t>
      </w:r>
      <w:proofErr w:type="spellStart"/>
      <w:r w:rsidR="00EF08F6" w:rsidRPr="00C06070">
        <w:rPr>
          <w:rFonts w:ascii="Times New Roman" w:hAnsi="Times New Roman"/>
          <w:i/>
          <w:sz w:val="24"/>
          <w:szCs w:val="24"/>
        </w:rPr>
        <w:t>of</w:t>
      </w:r>
      <w:proofErr w:type="spellEnd"/>
      <w:r w:rsidR="00EF08F6" w:rsidRPr="00C06070">
        <w:rPr>
          <w:rFonts w:ascii="Times New Roman" w:hAnsi="Times New Roman"/>
          <w:i/>
          <w:sz w:val="24"/>
          <w:szCs w:val="24"/>
        </w:rPr>
        <w:t xml:space="preserve"> Science</w:t>
      </w:r>
      <w:r w:rsidR="00891132">
        <w:rPr>
          <w:rFonts w:ascii="Times New Roman" w:hAnsi="Times New Roman"/>
          <w:sz w:val="24"/>
          <w:szCs w:val="24"/>
        </w:rPr>
        <w:t xml:space="preserve">. </w:t>
      </w:r>
      <w:r>
        <w:rPr>
          <w:rFonts w:ascii="Times New Roman" w:hAnsi="Times New Roman"/>
          <w:sz w:val="24"/>
          <w:szCs w:val="24"/>
        </w:rPr>
        <w:t xml:space="preserve">A Figura </w:t>
      </w:r>
      <w:r w:rsidR="00891132">
        <w:rPr>
          <w:rFonts w:ascii="Times New Roman" w:hAnsi="Times New Roman"/>
          <w:sz w:val="24"/>
          <w:szCs w:val="24"/>
        </w:rPr>
        <w:t>9</w:t>
      </w:r>
      <w:r>
        <w:rPr>
          <w:rFonts w:ascii="Times New Roman" w:hAnsi="Times New Roman"/>
          <w:sz w:val="24"/>
          <w:szCs w:val="24"/>
        </w:rPr>
        <w:t xml:space="preserve"> </w:t>
      </w:r>
      <w:r w:rsidR="00EF08F6">
        <w:rPr>
          <w:rFonts w:ascii="Times New Roman" w:hAnsi="Times New Roman"/>
          <w:sz w:val="24"/>
          <w:szCs w:val="24"/>
        </w:rPr>
        <w:t>demonstra o</w:t>
      </w:r>
      <w:r>
        <w:rPr>
          <w:rFonts w:ascii="Times New Roman" w:hAnsi="Times New Roman"/>
          <w:sz w:val="24"/>
          <w:szCs w:val="24"/>
        </w:rPr>
        <w:t xml:space="preserve"> número de citações dos trabalhos </w:t>
      </w:r>
      <w:r w:rsidR="00A24F87">
        <w:rPr>
          <w:rFonts w:ascii="Times New Roman" w:hAnsi="Times New Roman"/>
          <w:sz w:val="24"/>
          <w:szCs w:val="24"/>
        </w:rPr>
        <w:t xml:space="preserve">dos 10 autores que apresentaram </w:t>
      </w:r>
      <w:r w:rsidR="0042145D">
        <w:rPr>
          <w:rFonts w:ascii="Times New Roman" w:hAnsi="Times New Roman"/>
          <w:sz w:val="24"/>
          <w:szCs w:val="24"/>
        </w:rPr>
        <w:t>mais publicações relacionadas ao tema.</w:t>
      </w:r>
    </w:p>
    <w:p w:rsidR="0022234B" w:rsidRDefault="0022234B" w:rsidP="0022234B">
      <w:pPr>
        <w:spacing w:after="0"/>
        <w:jc w:val="both"/>
        <w:rPr>
          <w:rFonts w:ascii="Times New Roman" w:hAnsi="Times New Roman"/>
          <w:sz w:val="24"/>
          <w:szCs w:val="24"/>
        </w:rPr>
      </w:pPr>
    </w:p>
    <w:p w:rsidR="00BA2D1C" w:rsidRDefault="00895B8E" w:rsidP="0022234B">
      <w:pPr>
        <w:spacing w:after="0"/>
        <w:jc w:val="center"/>
        <w:rPr>
          <w:rFonts w:ascii="Times New Roman" w:hAnsi="Times New Roman"/>
          <w:sz w:val="24"/>
          <w:szCs w:val="24"/>
        </w:rPr>
      </w:pPr>
      <w:r>
        <w:rPr>
          <w:noProof/>
          <w:lang w:eastAsia="pt-BR"/>
        </w:rPr>
        <w:drawing>
          <wp:inline distT="0" distB="0" distL="0" distR="0" wp14:anchorId="4DE1115C" wp14:editId="4E63E2FE">
            <wp:extent cx="4514850" cy="3171825"/>
            <wp:effectExtent l="0" t="0" r="0" b="0"/>
            <wp:docPr id="9"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21" cstate="print"/>
                    <a:srcRect/>
                    <a:stretch>
                      <a:fillRect/>
                    </a:stretch>
                  </pic:blipFill>
                  <pic:spPr bwMode="auto">
                    <a:xfrm>
                      <a:off x="0" y="0"/>
                      <a:ext cx="4514850" cy="3171825"/>
                    </a:xfrm>
                    <a:prstGeom prst="rect">
                      <a:avLst/>
                    </a:prstGeom>
                    <a:noFill/>
                    <a:ln w="9525">
                      <a:noFill/>
                      <a:miter lim="800000"/>
                      <a:headEnd/>
                      <a:tailEnd/>
                    </a:ln>
                  </pic:spPr>
                </pic:pic>
              </a:graphicData>
            </a:graphic>
          </wp:inline>
        </w:drawing>
      </w:r>
    </w:p>
    <w:p w:rsidR="007112D1" w:rsidRDefault="007112D1" w:rsidP="0022234B">
      <w:pPr>
        <w:pStyle w:val="Legenda"/>
        <w:spacing w:after="0"/>
        <w:jc w:val="center"/>
        <w:rPr>
          <w:rFonts w:ascii="Times New Roman" w:hAnsi="Times New Roman"/>
          <w:sz w:val="24"/>
          <w:szCs w:val="24"/>
        </w:rPr>
      </w:pPr>
    </w:p>
    <w:p w:rsidR="00BA2D1C" w:rsidRDefault="0042145D" w:rsidP="0022234B">
      <w:pPr>
        <w:pStyle w:val="Legenda"/>
        <w:spacing w:after="0"/>
        <w:jc w:val="center"/>
        <w:rPr>
          <w:rFonts w:ascii="Times New Roman" w:hAnsi="Times New Roman"/>
          <w:b w:val="0"/>
          <w:sz w:val="24"/>
          <w:szCs w:val="24"/>
        </w:rPr>
      </w:pPr>
      <w:r w:rsidRPr="0042145D">
        <w:rPr>
          <w:rFonts w:ascii="Times New Roman" w:hAnsi="Times New Roman"/>
          <w:sz w:val="24"/>
          <w:szCs w:val="24"/>
        </w:rPr>
        <w:t xml:space="preserve">Figura </w:t>
      </w:r>
      <w:r w:rsidR="004616DF" w:rsidRPr="0042145D">
        <w:rPr>
          <w:rFonts w:ascii="Times New Roman" w:hAnsi="Times New Roman"/>
          <w:sz w:val="24"/>
          <w:szCs w:val="24"/>
        </w:rPr>
        <w:fldChar w:fldCharType="begin"/>
      </w:r>
      <w:r w:rsidRPr="0042145D">
        <w:rPr>
          <w:rFonts w:ascii="Times New Roman" w:hAnsi="Times New Roman"/>
          <w:sz w:val="24"/>
          <w:szCs w:val="24"/>
        </w:rPr>
        <w:instrText xml:space="preserve"> SEQ Figura \* ARABIC </w:instrText>
      </w:r>
      <w:r w:rsidR="004616DF" w:rsidRPr="0042145D">
        <w:rPr>
          <w:rFonts w:ascii="Times New Roman" w:hAnsi="Times New Roman"/>
          <w:sz w:val="24"/>
          <w:szCs w:val="24"/>
        </w:rPr>
        <w:fldChar w:fldCharType="separate"/>
      </w:r>
      <w:r w:rsidR="008C049C">
        <w:rPr>
          <w:rFonts w:ascii="Times New Roman" w:hAnsi="Times New Roman"/>
          <w:noProof/>
          <w:sz w:val="24"/>
          <w:szCs w:val="24"/>
        </w:rPr>
        <w:t>9</w:t>
      </w:r>
      <w:r w:rsidR="004616DF" w:rsidRPr="0042145D">
        <w:rPr>
          <w:rFonts w:ascii="Times New Roman" w:hAnsi="Times New Roman"/>
          <w:sz w:val="24"/>
          <w:szCs w:val="24"/>
        </w:rPr>
        <w:fldChar w:fldCharType="end"/>
      </w:r>
      <w:r w:rsidRPr="0042145D">
        <w:rPr>
          <w:rFonts w:ascii="Times New Roman" w:hAnsi="Times New Roman"/>
          <w:sz w:val="24"/>
          <w:szCs w:val="24"/>
        </w:rPr>
        <w:t xml:space="preserve">. </w:t>
      </w:r>
      <w:r w:rsidR="00BA2D1C" w:rsidRPr="00A24F87">
        <w:rPr>
          <w:rFonts w:ascii="Times New Roman" w:hAnsi="Times New Roman"/>
          <w:b w:val="0"/>
          <w:sz w:val="24"/>
          <w:szCs w:val="24"/>
        </w:rPr>
        <w:t>Citações d</w:t>
      </w:r>
      <w:r w:rsidRPr="00A24F87">
        <w:rPr>
          <w:rFonts w:ascii="Times New Roman" w:hAnsi="Times New Roman"/>
          <w:b w:val="0"/>
          <w:sz w:val="24"/>
          <w:szCs w:val="24"/>
        </w:rPr>
        <w:t>os autores com maior quantidade de publicações</w:t>
      </w:r>
    </w:p>
    <w:p w:rsidR="0022234B" w:rsidRPr="0022234B" w:rsidRDefault="0022234B" w:rsidP="0022234B"/>
    <w:p w:rsidR="00A94142" w:rsidRDefault="00BA2D1C" w:rsidP="0022234B">
      <w:pPr>
        <w:spacing w:after="0"/>
        <w:jc w:val="both"/>
        <w:rPr>
          <w:rFonts w:ascii="Times New Roman" w:hAnsi="Times New Roman"/>
          <w:sz w:val="24"/>
          <w:szCs w:val="24"/>
        </w:rPr>
      </w:pPr>
      <w:r w:rsidRPr="00A24F87">
        <w:rPr>
          <w:rFonts w:ascii="Times New Roman" w:hAnsi="Times New Roman"/>
          <w:sz w:val="24"/>
          <w:szCs w:val="24"/>
        </w:rPr>
        <w:tab/>
      </w:r>
      <w:r w:rsidR="00A24F87" w:rsidRPr="00A24F87">
        <w:rPr>
          <w:rFonts w:ascii="Times New Roman" w:hAnsi="Times New Roman"/>
          <w:sz w:val="24"/>
          <w:szCs w:val="24"/>
        </w:rPr>
        <w:t xml:space="preserve">Nesse sentido, com o uso da ferramenta </w:t>
      </w:r>
      <w:proofErr w:type="spellStart"/>
      <w:proofErr w:type="gramStart"/>
      <w:r w:rsidR="00A24F87" w:rsidRPr="00A24F87">
        <w:rPr>
          <w:rFonts w:ascii="Times New Roman" w:hAnsi="Times New Roman"/>
          <w:i/>
          <w:sz w:val="24"/>
          <w:szCs w:val="24"/>
        </w:rPr>
        <w:t>HistCite</w:t>
      </w:r>
      <w:proofErr w:type="spellEnd"/>
      <w:proofErr w:type="gramEnd"/>
      <w:r w:rsidR="00A24F87" w:rsidRPr="00A24F87">
        <w:rPr>
          <w:rFonts w:ascii="Times New Roman" w:hAnsi="Times New Roman"/>
          <w:sz w:val="24"/>
          <w:szCs w:val="24"/>
        </w:rPr>
        <w:t>, após</w:t>
      </w:r>
      <w:r w:rsidRPr="00A24F87">
        <w:rPr>
          <w:rFonts w:ascii="Times New Roman" w:hAnsi="Times New Roman"/>
          <w:sz w:val="24"/>
          <w:szCs w:val="24"/>
        </w:rPr>
        <w:t xml:space="preserve"> </w:t>
      </w:r>
      <w:r w:rsidR="00207ABE" w:rsidRPr="00A24F87">
        <w:rPr>
          <w:rFonts w:ascii="Times New Roman" w:hAnsi="Times New Roman"/>
          <w:sz w:val="24"/>
          <w:szCs w:val="24"/>
        </w:rPr>
        <w:t>as análises citadas acima</w:t>
      </w:r>
      <w:r w:rsidRPr="00A24F87">
        <w:rPr>
          <w:rFonts w:ascii="Times New Roman" w:hAnsi="Times New Roman"/>
          <w:sz w:val="24"/>
          <w:szCs w:val="24"/>
        </w:rPr>
        <w:t>, foi possível</w:t>
      </w:r>
      <w:r w:rsidR="00A24F87" w:rsidRPr="00A24F87">
        <w:rPr>
          <w:rFonts w:ascii="Times New Roman" w:hAnsi="Times New Roman"/>
          <w:sz w:val="24"/>
          <w:szCs w:val="24"/>
        </w:rPr>
        <w:t xml:space="preserve"> </w:t>
      </w:r>
      <w:r w:rsidRPr="00A24F87">
        <w:rPr>
          <w:rFonts w:ascii="Times New Roman" w:hAnsi="Times New Roman"/>
          <w:sz w:val="24"/>
          <w:szCs w:val="24"/>
        </w:rPr>
        <w:t>obter o gráfico que indicou que os trabalhos de</w:t>
      </w:r>
      <w:r w:rsidR="006E6A9C" w:rsidRPr="00A24F87">
        <w:rPr>
          <w:rFonts w:ascii="Times New Roman" w:hAnsi="Times New Roman"/>
          <w:sz w:val="24"/>
          <w:szCs w:val="24"/>
        </w:rPr>
        <w:t xml:space="preserve"> </w:t>
      </w:r>
      <w:proofErr w:type="spellStart"/>
      <w:r w:rsidR="006E6A9C" w:rsidRPr="00A24F87">
        <w:rPr>
          <w:rFonts w:ascii="Times New Roman" w:hAnsi="Times New Roman"/>
          <w:sz w:val="24"/>
          <w:szCs w:val="24"/>
        </w:rPr>
        <w:t>Nielen</w:t>
      </w:r>
      <w:proofErr w:type="spellEnd"/>
      <w:r w:rsidR="006E6A9C" w:rsidRPr="00A24F87">
        <w:rPr>
          <w:rFonts w:ascii="Times New Roman" w:hAnsi="Times New Roman"/>
          <w:sz w:val="24"/>
          <w:szCs w:val="24"/>
        </w:rPr>
        <w:t xml:space="preserve"> M.W.F</w:t>
      </w:r>
      <w:r w:rsidRPr="00A24F87">
        <w:rPr>
          <w:rFonts w:ascii="Times New Roman" w:hAnsi="Times New Roman"/>
          <w:sz w:val="24"/>
          <w:szCs w:val="24"/>
        </w:rPr>
        <w:t>. foram</w:t>
      </w:r>
      <w:r>
        <w:rPr>
          <w:rFonts w:ascii="Times New Roman" w:hAnsi="Times New Roman"/>
          <w:sz w:val="24"/>
          <w:szCs w:val="24"/>
        </w:rPr>
        <w:t xml:space="preserve"> </w:t>
      </w:r>
      <w:r w:rsidR="00A24F87">
        <w:rPr>
          <w:rFonts w:ascii="Times New Roman" w:hAnsi="Times New Roman"/>
          <w:sz w:val="24"/>
          <w:szCs w:val="24"/>
        </w:rPr>
        <w:t xml:space="preserve">aqueles mais </w:t>
      </w:r>
      <w:r>
        <w:rPr>
          <w:rFonts w:ascii="Times New Roman" w:hAnsi="Times New Roman"/>
          <w:sz w:val="24"/>
          <w:szCs w:val="24"/>
        </w:rPr>
        <w:lastRenderedPageBreak/>
        <w:t>citados como referência e ponto de partid</w:t>
      </w:r>
      <w:r w:rsidR="00A24F87">
        <w:rPr>
          <w:rFonts w:ascii="Times New Roman" w:hAnsi="Times New Roman"/>
          <w:sz w:val="24"/>
          <w:szCs w:val="24"/>
        </w:rPr>
        <w:t>a para vários outros trabalh</w:t>
      </w:r>
      <w:r w:rsidR="0022234B">
        <w:rPr>
          <w:rFonts w:ascii="Times New Roman" w:hAnsi="Times New Roman"/>
          <w:sz w:val="24"/>
          <w:szCs w:val="24"/>
        </w:rPr>
        <w:t>os, conforme figura 10 abaixo.</w:t>
      </w:r>
    </w:p>
    <w:p w:rsidR="00BA2D1C" w:rsidRDefault="00895B8E" w:rsidP="007B187D">
      <w:pPr>
        <w:spacing w:after="0"/>
        <w:jc w:val="center"/>
        <w:rPr>
          <w:rFonts w:ascii="Times New Roman" w:hAnsi="Times New Roman"/>
          <w:sz w:val="24"/>
          <w:szCs w:val="24"/>
        </w:rPr>
      </w:pPr>
      <w:r>
        <w:rPr>
          <w:noProof/>
          <w:lang w:eastAsia="pt-BR"/>
        </w:rPr>
        <w:drawing>
          <wp:inline distT="0" distB="0" distL="0" distR="0" wp14:anchorId="69080BAE" wp14:editId="74B4F124">
            <wp:extent cx="6400800" cy="245925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400800" cy="2459255"/>
                    </a:xfrm>
                    <a:prstGeom prst="rect">
                      <a:avLst/>
                    </a:prstGeom>
                    <a:noFill/>
                    <a:ln w="9525">
                      <a:noFill/>
                      <a:miter lim="800000"/>
                      <a:headEnd/>
                      <a:tailEnd/>
                    </a:ln>
                  </pic:spPr>
                </pic:pic>
              </a:graphicData>
            </a:graphic>
          </wp:inline>
        </w:drawing>
      </w:r>
    </w:p>
    <w:p w:rsidR="00BA2D1C" w:rsidRPr="00DE29B5" w:rsidRDefault="00BA2D1C" w:rsidP="0022234B">
      <w:pPr>
        <w:spacing w:after="0"/>
        <w:jc w:val="both"/>
        <w:rPr>
          <w:rFonts w:ascii="Times New Roman" w:hAnsi="Times New Roman"/>
          <w:sz w:val="24"/>
          <w:szCs w:val="24"/>
        </w:rPr>
      </w:pPr>
    </w:p>
    <w:p w:rsidR="00BA2D1C" w:rsidRPr="00DE29B5" w:rsidRDefault="00DE29B5" w:rsidP="0022234B">
      <w:pPr>
        <w:pStyle w:val="Legenda"/>
        <w:spacing w:after="0"/>
        <w:jc w:val="center"/>
        <w:rPr>
          <w:rFonts w:ascii="Times New Roman" w:hAnsi="Times New Roman"/>
          <w:b w:val="0"/>
          <w:sz w:val="24"/>
          <w:szCs w:val="24"/>
        </w:rPr>
      </w:pPr>
      <w:r w:rsidRPr="00DE29B5">
        <w:rPr>
          <w:rFonts w:ascii="Times New Roman" w:hAnsi="Times New Roman"/>
          <w:sz w:val="24"/>
          <w:szCs w:val="24"/>
        </w:rPr>
        <w:t xml:space="preserve">Figura </w:t>
      </w:r>
      <w:r w:rsidR="004616DF" w:rsidRPr="00DE29B5">
        <w:rPr>
          <w:rFonts w:ascii="Times New Roman" w:hAnsi="Times New Roman"/>
          <w:sz w:val="24"/>
          <w:szCs w:val="24"/>
        </w:rPr>
        <w:fldChar w:fldCharType="begin"/>
      </w:r>
      <w:r w:rsidRPr="00DE29B5">
        <w:rPr>
          <w:rFonts w:ascii="Times New Roman" w:hAnsi="Times New Roman"/>
          <w:sz w:val="24"/>
          <w:szCs w:val="24"/>
        </w:rPr>
        <w:instrText xml:space="preserve"> SEQ Figura \* ARABIC </w:instrText>
      </w:r>
      <w:r w:rsidR="004616DF" w:rsidRPr="00DE29B5">
        <w:rPr>
          <w:rFonts w:ascii="Times New Roman" w:hAnsi="Times New Roman"/>
          <w:sz w:val="24"/>
          <w:szCs w:val="24"/>
        </w:rPr>
        <w:fldChar w:fldCharType="separate"/>
      </w:r>
      <w:r w:rsidR="008C049C">
        <w:rPr>
          <w:rFonts w:ascii="Times New Roman" w:hAnsi="Times New Roman"/>
          <w:noProof/>
          <w:sz w:val="24"/>
          <w:szCs w:val="24"/>
        </w:rPr>
        <w:t>10</w:t>
      </w:r>
      <w:r w:rsidR="004616DF" w:rsidRPr="00DE29B5">
        <w:rPr>
          <w:rFonts w:ascii="Times New Roman" w:hAnsi="Times New Roman"/>
          <w:sz w:val="24"/>
          <w:szCs w:val="24"/>
        </w:rPr>
        <w:fldChar w:fldCharType="end"/>
      </w:r>
      <w:r w:rsidRPr="00DE29B5">
        <w:rPr>
          <w:rFonts w:ascii="Times New Roman" w:hAnsi="Times New Roman"/>
          <w:sz w:val="24"/>
          <w:szCs w:val="24"/>
        </w:rPr>
        <w:t xml:space="preserve">. </w:t>
      </w:r>
      <w:r w:rsidR="00AD4197" w:rsidRPr="00AD4197">
        <w:rPr>
          <w:rFonts w:ascii="Times New Roman" w:hAnsi="Times New Roman"/>
          <w:b w:val="0"/>
          <w:sz w:val="24"/>
          <w:szCs w:val="24"/>
        </w:rPr>
        <w:t>Representação gráfica</w:t>
      </w:r>
      <w:r w:rsidR="00AD4197">
        <w:rPr>
          <w:rFonts w:ascii="Times New Roman" w:hAnsi="Times New Roman"/>
          <w:sz w:val="24"/>
          <w:szCs w:val="24"/>
        </w:rPr>
        <w:t xml:space="preserve"> </w:t>
      </w:r>
      <w:r w:rsidR="00AD4197">
        <w:rPr>
          <w:rFonts w:ascii="Times New Roman" w:hAnsi="Times New Roman"/>
          <w:b w:val="0"/>
          <w:sz w:val="24"/>
          <w:szCs w:val="24"/>
        </w:rPr>
        <w:t>enfatizando</w:t>
      </w:r>
      <w:r w:rsidR="00BA2D1C" w:rsidRPr="00DE29B5">
        <w:rPr>
          <w:rFonts w:ascii="Times New Roman" w:hAnsi="Times New Roman"/>
          <w:b w:val="0"/>
          <w:sz w:val="24"/>
          <w:szCs w:val="24"/>
        </w:rPr>
        <w:t xml:space="preserve"> os trabalhos de </w:t>
      </w:r>
      <w:proofErr w:type="spellStart"/>
      <w:r w:rsidRPr="00DE29B5">
        <w:rPr>
          <w:rFonts w:ascii="Times New Roman" w:hAnsi="Times New Roman"/>
          <w:b w:val="0"/>
          <w:sz w:val="24"/>
          <w:szCs w:val="24"/>
        </w:rPr>
        <w:t>Nielen</w:t>
      </w:r>
      <w:proofErr w:type="spellEnd"/>
      <w:r w:rsidRPr="00DE29B5">
        <w:rPr>
          <w:rFonts w:ascii="Times New Roman" w:hAnsi="Times New Roman"/>
          <w:b w:val="0"/>
          <w:sz w:val="24"/>
          <w:szCs w:val="24"/>
        </w:rPr>
        <w:t xml:space="preserve"> M.W.F.</w:t>
      </w:r>
      <w:r>
        <w:rPr>
          <w:rFonts w:ascii="Times New Roman" w:hAnsi="Times New Roman"/>
          <w:sz w:val="24"/>
          <w:szCs w:val="24"/>
        </w:rPr>
        <w:t xml:space="preserve"> </w:t>
      </w:r>
      <w:r w:rsidR="00BA2D1C" w:rsidRPr="00DE29B5">
        <w:rPr>
          <w:rFonts w:ascii="Times New Roman" w:hAnsi="Times New Roman"/>
          <w:b w:val="0"/>
          <w:sz w:val="24"/>
          <w:szCs w:val="24"/>
        </w:rPr>
        <w:t xml:space="preserve">utilizando a ferramenta </w:t>
      </w:r>
      <w:proofErr w:type="spellStart"/>
      <w:proofErr w:type="gramStart"/>
      <w:r w:rsidR="00BA2D1C" w:rsidRPr="00DE29B5">
        <w:rPr>
          <w:rFonts w:ascii="Times New Roman" w:hAnsi="Times New Roman"/>
          <w:b w:val="0"/>
          <w:sz w:val="24"/>
          <w:szCs w:val="24"/>
        </w:rPr>
        <w:t>HistCite</w:t>
      </w:r>
      <w:proofErr w:type="spellEnd"/>
      <w:proofErr w:type="gramEnd"/>
    </w:p>
    <w:p w:rsidR="00BA2D1C" w:rsidRDefault="00BA2D1C" w:rsidP="0022234B">
      <w:pPr>
        <w:spacing w:after="0"/>
        <w:jc w:val="both"/>
        <w:rPr>
          <w:rFonts w:ascii="Times New Roman" w:hAnsi="Times New Roman"/>
          <w:sz w:val="20"/>
          <w:szCs w:val="20"/>
        </w:rPr>
      </w:pPr>
    </w:p>
    <w:p w:rsidR="00BA2D1C" w:rsidRDefault="00BA2D1C" w:rsidP="0022234B">
      <w:pPr>
        <w:spacing w:after="0"/>
        <w:jc w:val="both"/>
        <w:rPr>
          <w:rFonts w:ascii="Times New Roman" w:hAnsi="Times New Roman"/>
          <w:sz w:val="24"/>
          <w:szCs w:val="24"/>
        </w:rPr>
      </w:pPr>
      <w:r>
        <w:rPr>
          <w:rFonts w:ascii="Times New Roman" w:hAnsi="Times New Roman"/>
          <w:sz w:val="24"/>
          <w:szCs w:val="24"/>
        </w:rPr>
        <w:tab/>
      </w:r>
      <w:r w:rsidR="00DE29B5">
        <w:rPr>
          <w:rFonts w:ascii="Times New Roman" w:hAnsi="Times New Roman"/>
          <w:sz w:val="24"/>
          <w:szCs w:val="24"/>
        </w:rPr>
        <w:t>Posteriormente</w:t>
      </w:r>
      <w:r>
        <w:rPr>
          <w:rFonts w:ascii="Times New Roman" w:hAnsi="Times New Roman"/>
          <w:sz w:val="24"/>
          <w:szCs w:val="24"/>
        </w:rPr>
        <w:t xml:space="preserve">, foi feita </w:t>
      </w:r>
      <w:r w:rsidR="00DE29B5">
        <w:rPr>
          <w:rFonts w:ascii="Times New Roman" w:hAnsi="Times New Roman"/>
          <w:sz w:val="24"/>
          <w:szCs w:val="24"/>
        </w:rPr>
        <w:t xml:space="preserve">a </w:t>
      </w:r>
      <w:r w:rsidR="00A24F87">
        <w:rPr>
          <w:rFonts w:ascii="Times New Roman" w:hAnsi="Times New Roman"/>
          <w:sz w:val="24"/>
          <w:szCs w:val="24"/>
        </w:rPr>
        <w:t>classificação</w:t>
      </w:r>
      <w:r w:rsidR="00DE29B5">
        <w:rPr>
          <w:rFonts w:ascii="Times New Roman" w:hAnsi="Times New Roman"/>
          <w:sz w:val="24"/>
          <w:szCs w:val="24"/>
        </w:rPr>
        <w:t xml:space="preserve"> dos</w:t>
      </w:r>
      <w:r>
        <w:rPr>
          <w:rFonts w:ascii="Times New Roman" w:hAnsi="Times New Roman"/>
          <w:sz w:val="24"/>
          <w:szCs w:val="24"/>
        </w:rPr>
        <w:t xml:space="preserve"> periódicos</w:t>
      </w:r>
      <w:r w:rsidR="00A24F87">
        <w:rPr>
          <w:rFonts w:ascii="Times New Roman" w:hAnsi="Times New Roman"/>
          <w:sz w:val="24"/>
          <w:szCs w:val="24"/>
        </w:rPr>
        <w:t xml:space="preserve"> (revistas)</w:t>
      </w:r>
      <w:r>
        <w:rPr>
          <w:rFonts w:ascii="Times New Roman" w:hAnsi="Times New Roman"/>
          <w:sz w:val="24"/>
          <w:szCs w:val="24"/>
        </w:rPr>
        <w:t xml:space="preserve"> que mais se destacaram </w:t>
      </w:r>
      <w:r w:rsidR="00A24F87">
        <w:rPr>
          <w:rFonts w:ascii="Times New Roman" w:hAnsi="Times New Roman"/>
          <w:sz w:val="24"/>
          <w:szCs w:val="24"/>
        </w:rPr>
        <w:t>e que tiveram o maior número de publicações durante o período analisado.</w:t>
      </w:r>
    </w:p>
    <w:p w:rsidR="00DE29B5" w:rsidRPr="00A20FEC" w:rsidRDefault="00DE29B5" w:rsidP="0022234B">
      <w:pPr>
        <w:spacing w:after="0"/>
      </w:pPr>
    </w:p>
    <w:p w:rsidR="00810384" w:rsidRDefault="0022234B" w:rsidP="0022234B">
      <w:pPr>
        <w:spacing w:after="0"/>
        <w:ind w:left="720"/>
        <w:jc w:val="both"/>
        <w:rPr>
          <w:rFonts w:ascii="Times New Roman" w:hAnsi="Times New Roman"/>
          <w:b/>
          <w:sz w:val="24"/>
          <w:szCs w:val="24"/>
        </w:rPr>
      </w:pPr>
      <w:r>
        <w:rPr>
          <w:rFonts w:ascii="Times New Roman" w:hAnsi="Times New Roman"/>
          <w:b/>
          <w:sz w:val="24"/>
          <w:szCs w:val="24"/>
        </w:rPr>
        <w:t xml:space="preserve">4.3. </w:t>
      </w:r>
      <w:r w:rsidR="00DE29B5">
        <w:rPr>
          <w:rFonts w:ascii="Times New Roman" w:hAnsi="Times New Roman"/>
          <w:b/>
          <w:sz w:val="24"/>
          <w:szCs w:val="24"/>
        </w:rPr>
        <w:t>Principais periódicos</w:t>
      </w:r>
    </w:p>
    <w:p w:rsidR="0022234B" w:rsidRPr="008C049C" w:rsidRDefault="0022234B" w:rsidP="0022234B">
      <w:pPr>
        <w:spacing w:after="0"/>
        <w:jc w:val="both"/>
        <w:rPr>
          <w:rFonts w:ascii="Times New Roman" w:hAnsi="Times New Roman"/>
          <w:b/>
          <w:sz w:val="24"/>
          <w:szCs w:val="24"/>
        </w:rPr>
      </w:pPr>
    </w:p>
    <w:p w:rsidR="00BA2D1C" w:rsidRDefault="00810384" w:rsidP="0022234B">
      <w:pPr>
        <w:spacing w:after="0"/>
        <w:ind w:firstLine="708"/>
        <w:jc w:val="both"/>
        <w:rPr>
          <w:rFonts w:ascii="Times New Roman" w:hAnsi="Times New Roman"/>
          <w:sz w:val="24"/>
          <w:szCs w:val="24"/>
        </w:rPr>
      </w:pPr>
      <w:r>
        <w:rPr>
          <w:rFonts w:ascii="Times New Roman" w:hAnsi="Times New Roman"/>
          <w:sz w:val="24"/>
          <w:szCs w:val="24"/>
        </w:rPr>
        <w:t>Após o levantamento bibliográfico, identificou-se que os artigos relacionados ao tema foram publicados em 138 periódicos</w:t>
      </w:r>
      <w:r w:rsidR="00BA2D1C">
        <w:rPr>
          <w:rFonts w:ascii="Times New Roman" w:hAnsi="Times New Roman"/>
          <w:sz w:val="24"/>
          <w:szCs w:val="24"/>
        </w:rPr>
        <w:t>.</w:t>
      </w:r>
    </w:p>
    <w:p w:rsidR="00A24F87" w:rsidRDefault="00810384" w:rsidP="007B187D">
      <w:pPr>
        <w:spacing w:after="0"/>
        <w:ind w:firstLine="708"/>
        <w:jc w:val="both"/>
        <w:rPr>
          <w:rFonts w:ascii="Times New Roman" w:hAnsi="Times New Roman"/>
          <w:sz w:val="24"/>
          <w:szCs w:val="24"/>
        </w:rPr>
      </w:pPr>
      <w:r>
        <w:rPr>
          <w:rFonts w:ascii="Times New Roman" w:hAnsi="Times New Roman"/>
          <w:sz w:val="24"/>
          <w:szCs w:val="24"/>
        </w:rPr>
        <w:t xml:space="preserve">A figura 11 abaixo ilustra os 15 principais periódicos e a quantidade </w:t>
      </w:r>
      <w:r w:rsidR="008C049C">
        <w:rPr>
          <w:rFonts w:ascii="Times New Roman" w:hAnsi="Times New Roman"/>
          <w:sz w:val="24"/>
          <w:szCs w:val="24"/>
        </w:rPr>
        <w:t>de pub</w:t>
      </w:r>
      <w:r w:rsidR="00A24F87">
        <w:rPr>
          <w:rFonts w:ascii="Times New Roman" w:hAnsi="Times New Roman"/>
          <w:sz w:val="24"/>
          <w:szCs w:val="24"/>
        </w:rPr>
        <w:t>licações sobre o tema.</w:t>
      </w:r>
      <w:r w:rsidR="008C049C">
        <w:rPr>
          <w:rFonts w:ascii="Times New Roman" w:hAnsi="Times New Roman"/>
          <w:sz w:val="24"/>
          <w:szCs w:val="24"/>
        </w:rPr>
        <w:t xml:space="preserve"> </w:t>
      </w:r>
      <w:r w:rsidR="00A24F87">
        <w:rPr>
          <w:rFonts w:ascii="Times New Roman" w:hAnsi="Times New Roman"/>
          <w:sz w:val="24"/>
          <w:szCs w:val="24"/>
        </w:rPr>
        <w:t>Verificou-se</w:t>
      </w:r>
      <w:r w:rsidR="008C049C">
        <w:rPr>
          <w:rFonts w:ascii="Times New Roman" w:hAnsi="Times New Roman"/>
          <w:sz w:val="24"/>
          <w:szCs w:val="24"/>
        </w:rPr>
        <w:t xml:space="preserve"> que a revista </w:t>
      </w:r>
      <w:proofErr w:type="spellStart"/>
      <w:r w:rsidR="008C049C" w:rsidRPr="008C049C">
        <w:rPr>
          <w:rFonts w:ascii="Times New Roman" w:hAnsi="Times New Roman"/>
          <w:i/>
          <w:sz w:val="24"/>
          <w:szCs w:val="24"/>
        </w:rPr>
        <w:t>Journal</w:t>
      </w:r>
      <w:proofErr w:type="spellEnd"/>
      <w:r w:rsidR="008C049C" w:rsidRPr="008C049C">
        <w:rPr>
          <w:rFonts w:ascii="Times New Roman" w:hAnsi="Times New Roman"/>
          <w:i/>
          <w:sz w:val="24"/>
          <w:szCs w:val="24"/>
        </w:rPr>
        <w:t xml:space="preserve"> </w:t>
      </w:r>
      <w:proofErr w:type="spellStart"/>
      <w:r w:rsidR="008C049C" w:rsidRPr="008C049C">
        <w:rPr>
          <w:rFonts w:ascii="Times New Roman" w:hAnsi="Times New Roman"/>
          <w:i/>
          <w:sz w:val="24"/>
          <w:szCs w:val="24"/>
        </w:rPr>
        <w:t>of</w:t>
      </w:r>
      <w:proofErr w:type="spellEnd"/>
      <w:r w:rsidR="008C049C" w:rsidRPr="008C049C">
        <w:rPr>
          <w:rFonts w:ascii="Times New Roman" w:hAnsi="Times New Roman"/>
          <w:i/>
          <w:sz w:val="24"/>
          <w:szCs w:val="24"/>
        </w:rPr>
        <w:t xml:space="preserve"> </w:t>
      </w:r>
      <w:proofErr w:type="spellStart"/>
      <w:r w:rsidR="008C049C" w:rsidRPr="008C049C">
        <w:rPr>
          <w:rFonts w:ascii="Times New Roman" w:hAnsi="Times New Roman"/>
          <w:i/>
          <w:sz w:val="24"/>
          <w:szCs w:val="24"/>
        </w:rPr>
        <w:t>Chromatography</w:t>
      </w:r>
      <w:proofErr w:type="spellEnd"/>
      <w:r w:rsidR="008C049C" w:rsidRPr="008C049C">
        <w:rPr>
          <w:rFonts w:ascii="Times New Roman" w:hAnsi="Times New Roman"/>
          <w:i/>
          <w:sz w:val="24"/>
          <w:szCs w:val="24"/>
        </w:rPr>
        <w:t xml:space="preserve"> A</w:t>
      </w:r>
      <w:r w:rsidR="008C049C">
        <w:rPr>
          <w:rFonts w:ascii="Times New Roman" w:hAnsi="Times New Roman"/>
          <w:sz w:val="24"/>
          <w:szCs w:val="24"/>
        </w:rPr>
        <w:t xml:space="preserve"> </w:t>
      </w:r>
      <w:r w:rsidR="00A24F87">
        <w:rPr>
          <w:rFonts w:ascii="Times New Roman" w:hAnsi="Times New Roman"/>
          <w:sz w:val="24"/>
          <w:szCs w:val="24"/>
        </w:rPr>
        <w:t>apresentou o maior</w:t>
      </w:r>
      <w:r w:rsidR="008C049C">
        <w:rPr>
          <w:rFonts w:ascii="Times New Roman" w:hAnsi="Times New Roman"/>
          <w:sz w:val="24"/>
          <w:szCs w:val="24"/>
        </w:rPr>
        <w:t xml:space="preserve"> número de publicação em relação aos demais periódicos. </w:t>
      </w:r>
    </w:p>
    <w:p w:rsidR="007B187D" w:rsidRDefault="007B187D" w:rsidP="007B187D">
      <w:pPr>
        <w:spacing w:after="0"/>
        <w:ind w:firstLine="708"/>
        <w:jc w:val="both"/>
        <w:rPr>
          <w:rFonts w:ascii="Times New Roman" w:hAnsi="Times New Roman"/>
          <w:sz w:val="24"/>
          <w:szCs w:val="24"/>
        </w:rPr>
      </w:pPr>
    </w:p>
    <w:p w:rsidR="007112D1" w:rsidRDefault="00895B8E" w:rsidP="007B187D">
      <w:pPr>
        <w:spacing w:after="0"/>
        <w:jc w:val="center"/>
        <w:rPr>
          <w:rFonts w:ascii="Times New Roman" w:hAnsi="Times New Roman"/>
          <w:sz w:val="24"/>
          <w:szCs w:val="24"/>
        </w:rPr>
      </w:pPr>
      <w:r>
        <w:rPr>
          <w:rFonts w:ascii="Times New Roman" w:hAnsi="Times New Roman"/>
          <w:noProof/>
          <w:sz w:val="24"/>
          <w:szCs w:val="24"/>
          <w:lang w:eastAsia="pt-BR"/>
        </w:rPr>
        <w:drawing>
          <wp:inline distT="0" distB="0" distL="0" distR="0" wp14:anchorId="5C93F799" wp14:editId="338E9CA6">
            <wp:extent cx="4895850" cy="3181350"/>
            <wp:effectExtent l="0" t="0" r="0" b="0"/>
            <wp:docPr id="11"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23" cstate="print"/>
                    <a:srcRect b="-15"/>
                    <a:stretch>
                      <a:fillRect/>
                    </a:stretch>
                  </pic:blipFill>
                  <pic:spPr bwMode="auto">
                    <a:xfrm>
                      <a:off x="0" y="0"/>
                      <a:ext cx="4895850" cy="3181350"/>
                    </a:xfrm>
                    <a:prstGeom prst="rect">
                      <a:avLst/>
                    </a:prstGeom>
                    <a:noFill/>
                    <a:ln w="9525">
                      <a:noFill/>
                      <a:miter lim="800000"/>
                      <a:headEnd/>
                      <a:tailEnd/>
                    </a:ln>
                  </pic:spPr>
                </pic:pic>
              </a:graphicData>
            </a:graphic>
          </wp:inline>
        </w:drawing>
      </w:r>
    </w:p>
    <w:p w:rsidR="00A9642B" w:rsidRPr="007B187D" w:rsidRDefault="008C049C" w:rsidP="007B187D">
      <w:pPr>
        <w:pStyle w:val="Legenda"/>
        <w:spacing w:after="0"/>
        <w:jc w:val="center"/>
        <w:rPr>
          <w:rFonts w:ascii="Times New Roman" w:hAnsi="Times New Roman"/>
          <w:b w:val="0"/>
          <w:sz w:val="24"/>
          <w:szCs w:val="24"/>
        </w:rPr>
      </w:pPr>
      <w:r w:rsidRPr="008C049C">
        <w:rPr>
          <w:rFonts w:ascii="Times New Roman" w:hAnsi="Times New Roman"/>
          <w:sz w:val="24"/>
          <w:szCs w:val="24"/>
        </w:rPr>
        <w:t xml:space="preserve">Figura </w:t>
      </w:r>
      <w:r w:rsidR="004616DF" w:rsidRPr="008C049C">
        <w:rPr>
          <w:rFonts w:ascii="Times New Roman" w:hAnsi="Times New Roman"/>
          <w:sz w:val="24"/>
          <w:szCs w:val="24"/>
        </w:rPr>
        <w:fldChar w:fldCharType="begin"/>
      </w:r>
      <w:r w:rsidRPr="008C049C">
        <w:rPr>
          <w:rFonts w:ascii="Times New Roman" w:hAnsi="Times New Roman"/>
          <w:sz w:val="24"/>
          <w:szCs w:val="24"/>
        </w:rPr>
        <w:instrText xml:space="preserve"> SEQ Figura \* ARABIC </w:instrText>
      </w:r>
      <w:r w:rsidR="004616DF" w:rsidRPr="008C049C">
        <w:rPr>
          <w:rFonts w:ascii="Times New Roman" w:hAnsi="Times New Roman"/>
          <w:sz w:val="24"/>
          <w:szCs w:val="24"/>
        </w:rPr>
        <w:fldChar w:fldCharType="separate"/>
      </w:r>
      <w:r w:rsidRPr="008C049C">
        <w:rPr>
          <w:rFonts w:ascii="Times New Roman" w:hAnsi="Times New Roman"/>
          <w:noProof/>
          <w:sz w:val="24"/>
          <w:szCs w:val="24"/>
        </w:rPr>
        <w:t>11</w:t>
      </w:r>
      <w:r w:rsidR="004616DF" w:rsidRPr="008C049C">
        <w:rPr>
          <w:rFonts w:ascii="Times New Roman" w:hAnsi="Times New Roman"/>
          <w:sz w:val="24"/>
          <w:szCs w:val="24"/>
        </w:rPr>
        <w:fldChar w:fldCharType="end"/>
      </w:r>
      <w:r w:rsidRPr="008C049C">
        <w:rPr>
          <w:rFonts w:ascii="Times New Roman" w:hAnsi="Times New Roman"/>
          <w:sz w:val="24"/>
          <w:szCs w:val="24"/>
        </w:rPr>
        <w:t xml:space="preserve">. </w:t>
      </w:r>
      <w:r w:rsidR="00BA2D1C" w:rsidRPr="008C049C">
        <w:rPr>
          <w:rFonts w:ascii="Times New Roman" w:hAnsi="Times New Roman"/>
          <w:b w:val="0"/>
          <w:sz w:val="24"/>
          <w:szCs w:val="24"/>
        </w:rPr>
        <w:t>Periódicos com o maior número de publicações</w:t>
      </w:r>
    </w:p>
    <w:p w:rsidR="00BA2D1C" w:rsidRDefault="00590956" w:rsidP="002D3FC4">
      <w:pPr>
        <w:spacing w:after="0"/>
        <w:ind w:left="284" w:firstLine="360"/>
        <w:jc w:val="both"/>
        <w:rPr>
          <w:rFonts w:ascii="Times New Roman" w:hAnsi="Times New Roman"/>
          <w:b/>
          <w:sz w:val="24"/>
          <w:szCs w:val="24"/>
        </w:rPr>
      </w:pPr>
      <w:r w:rsidRPr="00810384">
        <w:rPr>
          <w:rFonts w:ascii="Times New Roman" w:hAnsi="Times New Roman"/>
          <w:b/>
          <w:sz w:val="24"/>
          <w:szCs w:val="24"/>
        </w:rPr>
        <w:lastRenderedPageBreak/>
        <w:t>4.4.</w:t>
      </w:r>
      <w:r w:rsidR="00810384">
        <w:rPr>
          <w:rFonts w:ascii="Times New Roman" w:hAnsi="Times New Roman"/>
          <w:b/>
          <w:sz w:val="24"/>
          <w:szCs w:val="24"/>
        </w:rPr>
        <w:t xml:space="preserve"> </w:t>
      </w:r>
      <w:r w:rsidR="00BA2D1C" w:rsidRPr="00810384">
        <w:rPr>
          <w:rFonts w:ascii="Times New Roman" w:hAnsi="Times New Roman"/>
          <w:b/>
          <w:sz w:val="24"/>
          <w:szCs w:val="24"/>
        </w:rPr>
        <w:t>Número de publicações no período pesquisado</w:t>
      </w:r>
    </w:p>
    <w:p w:rsidR="002D3FC4" w:rsidRPr="00810384" w:rsidRDefault="002D3FC4" w:rsidP="002D3FC4">
      <w:pPr>
        <w:spacing w:after="0"/>
        <w:ind w:left="284" w:firstLine="360"/>
        <w:jc w:val="both"/>
        <w:rPr>
          <w:rFonts w:ascii="Times New Roman" w:hAnsi="Times New Roman"/>
          <w:b/>
          <w:sz w:val="24"/>
          <w:szCs w:val="24"/>
        </w:rPr>
      </w:pPr>
    </w:p>
    <w:p w:rsidR="00BA2D1C" w:rsidRDefault="00BA2D1C" w:rsidP="0022234B">
      <w:pPr>
        <w:spacing w:after="0"/>
        <w:jc w:val="both"/>
        <w:rPr>
          <w:rFonts w:ascii="Times New Roman" w:hAnsi="Times New Roman"/>
          <w:sz w:val="24"/>
          <w:szCs w:val="24"/>
        </w:rPr>
      </w:pPr>
      <w:r>
        <w:rPr>
          <w:rFonts w:ascii="Times New Roman" w:hAnsi="Times New Roman"/>
          <w:b/>
          <w:sz w:val="24"/>
          <w:szCs w:val="24"/>
        </w:rPr>
        <w:tab/>
      </w:r>
      <w:r w:rsidR="00906352" w:rsidRPr="00906352">
        <w:rPr>
          <w:rFonts w:ascii="Times New Roman" w:hAnsi="Times New Roman"/>
          <w:sz w:val="24"/>
          <w:szCs w:val="24"/>
        </w:rPr>
        <w:t xml:space="preserve">A fim de que fosse analisada a periodicidade com que o tema é abordado, realizou-se uma análise das publicações feita ao longo do </w:t>
      </w:r>
      <w:r w:rsidRPr="00906352">
        <w:rPr>
          <w:rFonts w:ascii="Times New Roman" w:hAnsi="Times New Roman"/>
          <w:sz w:val="24"/>
          <w:szCs w:val="24"/>
        </w:rPr>
        <w:t>período de</w:t>
      </w:r>
      <w:r w:rsidR="006F108B">
        <w:rPr>
          <w:rFonts w:ascii="Times New Roman" w:hAnsi="Times New Roman"/>
          <w:sz w:val="24"/>
          <w:szCs w:val="24"/>
        </w:rPr>
        <w:t xml:space="preserve"> 1987</w:t>
      </w:r>
      <w:r w:rsidRPr="00906352">
        <w:rPr>
          <w:rFonts w:ascii="Times New Roman" w:hAnsi="Times New Roman"/>
          <w:sz w:val="24"/>
          <w:szCs w:val="24"/>
        </w:rPr>
        <w:t xml:space="preserve"> a</w:t>
      </w:r>
      <w:r>
        <w:rPr>
          <w:rFonts w:ascii="Times New Roman" w:hAnsi="Times New Roman"/>
          <w:sz w:val="24"/>
          <w:szCs w:val="24"/>
        </w:rPr>
        <w:t xml:space="preserve"> 201</w:t>
      </w:r>
      <w:r w:rsidR="00906352">
        <w:rPr>
          <w:rFonts w:ascii="Times New Roman" w:hAnsi="Times New Roman"/>
          <w:sz w:val="24"/>
          <w:szCs w:val="24"/>
        </w:rPr>
        <w:t>7</w:t>
      </w:r>
      <w:r w:rsidR="006F108B">
        <w:rPr>
          <w:rFonts w:ascii="Times New Roman" w:hAnsi="Times New Roman"/>
          <w:sz w:val="24"/>
          <w:szCs w:val="24"/>
        </w:rPr>
        <w:t xml:space="preserve">, dentre estes, selecionou-se os últimos 10 anos para representação gráfica </w:t>
      </w:r>
      <w:r w:rsidR="00906352" w:rsidRPr="00A94142">
        <w:rPr>
          <w:rFonts w:ascii="Times New Roman" w:hAnsi="Times New Roman"/>
          <w:sz w:val="24"/>
          <w:szCs w:val="24"/>
        </w:rPr>
        <w:t xml:space="preserve">(Figura </w:t>
      </w:r>
      <w:r w:rsidR="006F108B" w:rsidRPr="00A94142">
        <w:rPr>
          <w:rFonts w:ascii="Times New Roman" w:hAnsi="Times New Roman"/>
          <w:sz w:val="24"/>
          <w:szCs w:val="24"/>
        </w:rPr>
        <w:t>1</w:t>
      </w:r>
      <w:r w:rsidR="00B607BE">
        <w:rPr>
          <w:rFonts w:ascii="Times New Roman" w:hAnsi="Times New Roman"/>
          <w:sz w:val="24"/>
          <w:szCs w:val="24"/>
        </w:rPr>
        <w:t>1</w:t>
      </w:r>
      <w:r w:rsidR="00906352" w:rsidRPr="00A94142">
        <w:rPr>
          <w:rFonts w:ascii="Times New Roman" w:hAnsi="Times New Roman"/>
          <w:sz w:val="24"/>
          <w:szCs w:val="24"/>
        </w:rPr>
        <w:t>)</w:t>
      </w:r>
      <w:r w:rsidRPr="00A94142">
        <w:rPr>
          <w:rFonts w:ascii="Times New Roman" w:hAnsi="Times New Roman"/>
          <w:sz w:val="24"/>
          <w:szCs w:val="24"/>
        </w:rPr>
        <w:t>.</w:t>
      </w:r>
    </w:p>
    <w:p w:rsidR="00111301" w:rsidRDefault="00111301" w:rsidP="0022234B">
      <w:pPr>
        <w:spacing w:after="0"/>
        <w:jc w:val="both"/>
        <w:rPr>
          <w:rFonts w:ascii="Times New Roman" w:hAnsi="Times New Roman"/>
          <w:sz w:val="24"/>
          <w:szCs w:val="24"/>
        </w:rPr>
      </w:pPr>
    </w:p>
    <w:p w:rsidR="00111301" w:rsidRDefault="00895B8E" w:rsidP="000446AE">
      <w:pPr>
        <w:spacing w:after="0"/>
        <w:jc w:val="center"/>
        <w:rPr>
          <w:noProof/>
        </w:rPr>
      </w:pPr>
      <w:r>
        <w:rPr>
          <w:noProof/>
          <w:lang w:eastAsia="pt-BR"/>
        </w:rPr>
        <w:drawing>
          <wp:inline distT="0" distB="0" distL="0" distR="0" wp14:anchorId="011C4DA5" wp14:editId="35DB7567">
            <wp:extent cx="4495800" cy="2895600"/>
            <wp:effectExtent l="0" t="0" r="0" b="0"/>
            <wp:docPr id="12"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24" cstate="print"/>
                    <a:srcRect b="-20"/>
                    <a:stretch>
                      <a:fillRect/>
                    </a:stretch>
                  </pic:blipFill>
                  <pic:spPr bwMode="auto">
                    <a:xfrm>
                      <a:off x="0" y="0"/>
                      <a:ext cx="4495800" cy="2895600"/>
                    </a:xfrm>
                    <a:prstGeom prst="rect">
                      <a:avLst/>
                    </a:prstGeom>
                    <a:noFill/>
                    <a:ln w="9525">
                      <a:noFill/>
                      <a:miter lim="800000"/>
                      <a:headEnd/>
                      <a:tailEnd/>
                    </a:ln>
                  </pic:spPr>
                </pic:pic>
              </a:graphicData>
            </a:graphic>
          </wp:inline>
        </w:drawing>
      </w:r>
    </w:p>
    <w:p w:rsidR="00BA2D1C" w:rsidRDefault="00111301" w:rsidP="000446AE">
      <w:pPr>
        <w:pStyle w:val="Legenda"/>
        <w:spacing w:after="0"/>
        <w:jc w:val="center"/>
        <w:rPr>
          <w:rFonts w:ascii="Times New Roman" w:hAnsi="Times New Roman"/>
          <w:b w:val="0"/>
          <w:sz w:val="24"/>
          <w:szCs w:val="24"/>
        </w:rPr>
      </w:pPr>
      <w:r w:rsidRPr="00906352">
        <w:rPr>
          <w:rFonts w:ascii="Times New Roman" w:hAnsi="Times New Roman"/>
          <w:sz w:val="24"/>
          <w:szCs w:val="24"/>
        </w:rPr>
        <w:t xml:space="preserve">Figura </w:t>
      </w:r>
      <w:r w:rsidR="004616DF" w:rsidRPr="00906352">
        <w:rPr>
          <w:rFonts w:ascii="Times New Roman" w:hAnsi="Times New Roman"/>
          <w:sz w:val="24"/>
          <w:szCs w:val="24"/>
        </w:rPr>
        <w:fldChar w:fldCharType="begin"/>
      </w:r>
      <w:r w:rsidRPr="00906352">
        <w:rPr>
          <w:rFonts w:ascii="Times New Roman" w:hAnsi="Times New Roman"/>
          <w:sz w:val="24"/>
          <w:szCs w:val="24"/>
        </w:rPr>
        <w:instrText xml:space="preserve"> SEQ Figura \* ARABIC </w:instrText>
      </w:r>
      <w:r w:rsidR="004616DF" w:rsidRPr="00906352">
        <w:rPr>
          <w:rFonts w:ascii="Times New Roman" w:hAnsi="Times New Roman"/>
          <w:sz w:val="24"/>
          <w:szCs w:val="24"/>
        </w:rPr>
        <w:fldChar w:fldCharType="separate"/>
      </w:r>
      <w:r w:rsidR="008C049C">
        <w:rPr>
          <w:rFonts w:ascii="Times New Roman" w:hAnsi="Times New Roman"/>
          <w:noProof/>
          <w:sz w:val="24"/>
          <w:szCs w:val="24"/>
        </w:rPr>
        <w:t>12</w:t>
      </w:r>
      <w:r w:rsidR="004616DF" w:rsidRPr="00906352">
        <w:rPr>
          <w:rFonts w:ascii="Times New Roman" w:hAnsi="Times New Roman"/>
          <w:sz w:val="24"/>
          <w:szCs w:val="24"/>
        </w:rPr>
        <w:fldChar w:fldCharType="end"/>
      </w:r>
      <w:r w:rsidRPr="00906352">
        <w:rPr>
          <w:rFonts w:ascii="Times New Roman" w:hAnsi="Times New Roman"/>
          <w:sz w:val="24"/>
          <w:szCs w:val="24"/>
        </w:rPr>
        <w:t xml:space="preserve">. </w:t>
      </w:r>
      <w:r w:rsidRPr="00906352">
        <w:rPr>
          <w:rFonts w:ascii="Times New Roman" w:hAnsi="Times New Roman"/>
          <w:b w:val="0"/>
          <w:sz w:val="24"/>
          <w:szCs w:val="24"/>
        </w:rPr>
        <w:t xml:space="preserve">Número de publicações </w:t>
      </w:r>
      <w:r w:rsidR="00906352" w:rsidRPr="00906352">
        <w:rPr>
          <w:rFonts w:ascii="Times New Roman" w:hAnsi="Times New Roman"/>
          <w:b w:val="0"/>
          <w:sz w:val="24"/>
          <w:szCs w:val="24"/>
        </w:rPr>
        <w:t>desde 2005</w:t>
      </w:r>
    </w:p>
    <w:p w:rsidR="007B187D" w:rsidRPr="007B187D" w:rsidRDefault="007B187D" w:rsidP="006C540A">
      <w:pPr>
        <w:spacing w:after="0"/>
      </w:pPr>
    </w:p>
    <w:p w:rsidR="00BA2D1C" w:rsidRDefault="00BA2D1C" w:rsidP="0022234B">
      <w:pPr>
        <w:spacing w:after="0"/>
        <w:jc w:val="both"/>
        <w:rPr>
          <w:rFonts w:ascii="Times New Roman" w:hAnsi="Times New Roman"/>
          <w:sz w:val="24"/>
          <w:szCs w:val="24"/>
        </w:rPr>
      </w:pPr>
      <w:r>
        <w:rPr>
          <w:rFonts w:ascii="Times New Roman" w:hAnsi="Times New Roman"/>
          <w:sz w:val="24"/>
          <w:szCs w:val="24"/>
        </w:rPr>
        <w:tab/>
      </w:r>
      <w:r w:rsidR="004C769B">
        <w:rPr>
          <w:rFonts w:ascii="Times New Roman" w:hAnsi="Times New Roman"/>
          <w:sz w:val="24"/>
          <w:szCs w:val="24"/>
        </w:rPr>
        <w:t xml:space="preserve">Assim, </w:t>
      </w:r>
      <w:r w:rsidR="00A9642B">
        <w:rPr>
          <w:rFonts w:ascii="Times New Roman" w:hAnsi="Times New Roman"/>
          <w:sz w:val="24"/>
          <w:szCs w:val="24"/>
        </w:rPr>
        <w:t xml:space="preserve">foi possível </w:t>
      </w:r>
      <w:r w:rsidR="00A94142">
        <w:rPr>
          <w:rFonts w:ascii="Times New Roman" w:hAnsi="Times New Roman"/>
          <w:sz w:val="24"/>
          <w:szCs w:val="24"/>
        </w:rPr>
        <w:t>verificar</w:t>
      </w:r>
      <w:r w:rsidR="00A9642B">
        <w:rPr>
          <w:rFonts w:ascii="Times New Roman" w:hAnsi="Times New Roman"/>
          <w:sz w:val="24"/>
          <w:szCs w:val="24"/>
        </w:rPr>
        <w:t xml:space="preserve"> a importância do tema</w:t>
      </w:r>
      <w:r>
        <w:rPr>
          <w:rFonts w:ascii="Times New Roman" w:hAnsi="Times New Roman"/>
          <w:sz w:val="24"/>
          <w:szCs w:val="24"/>
        </w:rPr>
        <w:t xml:space="preserve"> </w:t>
      </w:r>
      <w:r w:rsidR="00A94142">
        <w:rPr>
          <w:rFonts w:ascii="Times New Roman" w:hAnsi="Times New Roman"/>
          <w:sz w:val="24"/>
          <w:szCs w:val="24"/>
        </w:rPr>
        <w:t xml:space="preserve">fármacos e </w:t>
      </w:r>
      <w:proofErr w:type="spellStart"/>
      <w:r w:rsidR="00A94142">
        <w:rPr>
          <w:rFonts w:ascii="Times New Roman" w:hAnsi="Times New Roman"/>
          <w:sz w:val="24"/>
          <w:szCs w:val="24"/>
        </w:rPr>
        <w:t>quiralidade</w:t>
      </w:r>
      <w:proofErr w:type="spellEnd"/>
      <w:r w:rsidR="00A9642B">
        <w:rPr>
          <w:rFonts w:ascii="Times New Roman" w:hAnsi="Times New Roman"/>
          <w:sz w:val="24"/>
          <w:szCs w:val="24"/>
        </w:rPr>
        <w:t xml:space="preserve"> e mensurar </w:t>
      </w:r>
      <w:r w:rsidR="004C769B">
        <w:rPr>
          <w:rFonts w:ascii="Times New Roman" w:hAnsi="Times New Roman"/>
          <w:sz w:val="24"/>
          <w:szCs w:val="24"/>
        </w:rPr>
        <w:t>o quanto já foi e continua</w:t>
      </w:r>
      <w:r>
        <w:rPr>
          <w:rFonts w:ascii="Times New Roman" w:hAnsi="Times New Roman"/>
          <w:sz w:val="24"/>
          <w:szCs w:val="24"/>
        </w:rPr>
        <w:t xml:space="preserve"> sendo estudados, além </w:t>
      </w:r>
      <w:r w:rsidR="00A94142">
        <w:rPr>
          <w:rFonts w:ascii="Times New Roman" w:hAnsi="Times New Roman"/>
          <w:sz w:val="24"/>
          <w:szCs w:val="24"/>
        </w:rPr>
        <w:t>de ser uma área de extrema relevância e que ainda tem muito a ser explorada tanto pela academia e quanto pela indústria</w:t>
      </w:r>
      <w:r>
        <w:rPr>
          <w:rFonts w:ascii="Times New Roman" w:hAnsi="Times New Roman"/>
          <w:sz w:val="24"/>
          <w:szCs w:val="24"/>
        </w:rPr>
        <w:t>.</w:t>
      </w:r>
    </w:p>
    <w:p w:rsidR="00BA2D1C" w:rsidRDefault="00BA2D1C" w:rsidP="0022234B">
      <w:pPr>
        <w:spacing w:after="0"/>
        <w:jc w:val="both"/>
        <w:rPr>
          <w:rFonts w:ascii="Times New Roman" w:hAnsi="Times New Roman"/>
          <w:b/>
          <w:sz w:val="24"/>
          <w:szCs w:val="24"/>
        </w:rPr>
      </w:pPr>
      <w:r>
        <w:rPr>
          <w:rFonts w:ascii="Times New Roman" w:hAnsi="Times New Roman"/>
          <w:sz w:val="24"/>
          <w:szCs w:val="24"/>
        </w:rPr>
        <w:tab/>
      </w:r>
      <w:r w:rsidR="00A94142">
        <w:rPr>
          <w:rFonts w:ascii="Times New Roman" w:hAnsi="Times New Roman"/>
          <w:sz w:val="24"/>
          <w:szCs w:val="24"/>
        </w:rPr>
        <w:t xml:space="preserve">Após </w:t>
      </w:r>
      <w:r w:rsidR="00A9642B">
        <w:rPr>
          <w:rFonts w:ascii="Times New Roman" w:hAnsi="Times New Roman"/>
          <w:sz w:val="24"/>
          <w:szCs w:val="24"/>
        </w:rPr>
        <w:t xml:space="preserve">a análise </w:t>
      </w:r>
      <w:r w:rsidR="00A94142">
        <w:rPr>
          <w:rFonts w:ascii="Times New Roman" w:hAnsi="Times New Roman"/>
          <w:sz w:val="24"/>
          <w:szCs w:val="24"/>
        </w:rPr>
        <w:t>dos dados</w:t>
      </w:r>
      <w:r>
        <w:rPr>
          <w:rFonts w:ascii="Times New Roman" w:hAnsi="Times New Roman"/>
          <w:sz w:val="24"/>
          <w:szCs w:val="24"/>
        </w:rPr>
        <w:t xml:space="preserve">, </w:t>
      </w:r>
      <w:proofErr w:type="gramStart"/>
      <w:r w:rsidR="004C769B">
        <w:rPr>
          <w:rFonts w:ascii="Times New Roman" w:hAnsi="Times New Roman"/>
          <w:sz w:val="24"/>
          <w:szCs w:val="24"/>
        </w:rPr>
        <w:t>identificou-se</w:t>
      </w:r>
      <w:proofErr w:type="gramEnd"/>
      <w:r w:rsidR="00A94142">
        <w:rPr>
          <w:rFonts w:ascii="Times New Roman" w:hAnsi="Times New Roman"/>
          <w:sz w:val="24"/>
          <w:szCs w:val="24"/>
        </w:rPr>
        <w:t xml:space="preserve"> que houve uma elevada quantidade de publicações, principalmente, no ano de 2006, 2008 e 2016</w:t>
      </w:r>
      <w:r w:rsidR="00A9642B">
        <w:rPr>
          <w:rFonts w:ascii="Times New Roman" w:hAnsi="Times New Roman"/>
          <w:sz w:val="24"/>
          <w:szCs w:val="24"/>
        </w:rPr>
        <w:t xml:space="preserve"> </w:t>
      </w:r>
      <w:r>
        <w:rPr>
          <w:rFonts w:ascii="Times New Roman" w:hAnsi="Times New Roman"/>
          <w:sz w:val="24"/>
          <w:szCs w:val="24"/>
        </w:rPr>
        <w:t xml:space="preserve">com </w:t>
      </w:r>
      <w:r w:rsidR="00A94142">
        <w:rPr>
          <w:rFonts w:ascii="Times New Roman" w:hAnsi="Times New Roman"/>
          <w:sz w:val="24"/>
          <w:szCs w:val="24"/>
        </w:rPr>
        <w:t xml:space="preserve">46, 52 e 44 </w:t>
      </w:r>
      <w:r>
        <w:rPr>
          <w:rFonts w:ascii="Times New Roman" w:hAnsi="Times New Roman"/>
          <w:sz w:val="24"/>
          <w:szCs w:val="24"/>
        </w:rPr>
        <w:t>artigos</w:t>
      </w:r>
      <w:r w:rsidR="00A9642B">
        <w:rPr>
          <w:rFonts w:ascii="Times New Roman" w:hAnsi="Times New Roman"/>
          <w:sz w:val="24"/>
          <w:szCs w:val="24"/>
        </w:rPr>
        <w:t>, respectivamente.</w:t>
      </w:r>
    </w:p>
    <w:p w:rsidR="00BA2D1C" w:rsidRPr="001271EE" w:rsidRDefault="00BA2D1C" w:rsidP="0022234B">
      <w:pPr>
        <w:spacing w:after="0"/>
        <w:jc w:val="both"/>
        <w:rPr>
          <w:rFonts w:ascii="Times New Roman" w:hAnsi="Times New Roman"/>
          <w:b/>
          <w:sz w:val="24"/>
          <w:szCs w:val="24"/>
        </w:rPr>
      </w:pPr>
    </w:p>
    <w:p w:rsidR="00F702BB" w:rsidRDefault="002D3FC4" w:rsidP="002D3FC4">
      <w:pPr>
        <w:spacing w:after="0"/>
        <w:jc w:val="both"/>
        <w:rPr>
          <w:rFonts w:ascii="Times New Roman" w:hAnsi="Times New Roman"/>
          <w:b/>
          <w:sz w:val="24"/>
          <w:szCs w:val="24"/>
        </w:rPr>
      </w:pPr>
      <w:r>
        <w:rPr>
          <w:rFonts w:ascii="Times New Roman" w:hAnsi="Times New Roman"/>
          <w:b/>
          <w:sz w:val="24"/>
          <w:szCs w:val="24"/>
        </w:rPr>
        <w:t xml:space="preserve">5. </w:t>
      </w:r>
      <w:r w:rsidR="00A77CBE">
        <w:rPr>
          <w:rFonts w:ascii="Times New Roman" w:hAnsi="Times New Roman"/>
          <w:b/>
          <w:sz w:val="24"/>
          <w:szCs w:val="24"/>
        </w:rPr>
        <w:t>Conclusões</w:t>
      </w:r>
    </w:p>
    <w:p w:rsidR="002D3FC4" w:rsidRDefault="002D3FC4" w:rsidP="002D3FC4">
      <w:pPr>
        <w:spacing w:after="0"/>
        <w:jc w:val="both"/>
        <w:rPr>
          <w:rFonts w:ascii="Times New Roman" w:hAnsi="Times New Roman"/>
          <w:b/>
          <w:sz w:val="24"/>
          <w:szCs w:val="24"/>
        </w:rPr>
      </w:pPr>
    </w:p>
    <w:p w:rsidR="000D5758" w:rsidRDefault="00185FDE" w:rsidP="006C540A">
      <w:pPr>
        <w:spacing w:after="0"/>
        <w:ind w:firstLine="708"/>
        <w:jc w:val="both"/>
        <w:rPr>
          <w:rFonts w:ascii="Times New Roman" w:hAnsi="Times New Roman"/>
          <w:sz w:val="24"/>
          <w:szCs w:val="24"/>
        </w:rPr>
      </w:pPr>
      <w:r>
        <w:rPr>
          <w:rFonts w:ascii="Times New Roman" w:hAnsi="Times New Roman"/>
          <w:sz w:val="24"/>
          <w:szCs w:val="24"/>
        </w:rPr>
        <w:t>Neste trabalho, fo</w:t>
      </w:r>
      <w:r w:rsidR="003E5F8A">
        <w:rPr>
          <w:rFonts w:ascii="Times New Roman" w:hAnsi="Times New Roman"/>
          <w:sz w:val="24"/>
          <w:szCs w:val="24"/>
        </w:rPr>
        <w:t>ram</w:t>
      </w:r>
      <w:r>
        <w:rPr>
          <w:rFonts w:ascii="Times New Roman" w:hAnsi="Times New Roman"/>
          <w:sz w:val="24"/>
          <w:szCs w:val="24"/>
        </w:rPr>
        <w:t xml:space="preserve"> realizado</w:t>
      </w:r>
      <w:r w:rsidR="003E5F8A">
        <w:rPr>
          <w:rFonts w:ascii="Times New Roman" w:hAnsi="Times New Roman"/>
          <w:sz w:val="24"/>
          <w:szCs w:val="24"/>
        </w:rPr>
        <w:t>s</w:t>
      </w:r>
      <w:r>
        <w:rPr>
          <w:rFonts w:ascii="Times New Roman" w:hAnsi="Times New Roman"/>
          <w:sz w:val="24"/>
          <w:szCs w:val="24"/>
        </w:rPr>
        <w:t xml:space="preserve"> um mapeamento bibliográfico e um </w:t>
      </w:r>
      <w:r w:rsidRPr="00185FDE">
        <w:rPr>
          <w:rFonts w:ascii="Times New Roman" w:hAnsi="Times New Roman"/>
          <w:sz w:val="24"/>
          <w:szCs w:val="24"/>
        </w:rPr>
        <w:t>estudo d</w:t>
      </w:r>
      <w:r w:rsidR="003E5F8A">
        <w:rPr>
          <w:rFonts w:ascii="Times New Roman" w:hAnsi="Times New Roman"/>
          <w:sz w:val="24"/>
          <w:szCs w:val="24"/>
        </w:rPr>
        <w:t>o</w:t>
      </w:r>
      <w:r w:rsidRPr="00185FDE">
        <w:rPr>
          <w:rFonts w:ascii="Times New Roman" w:hAnsi="Times New Roman"/>
          <w:sz w:val="24"/>
          <w:szCs w:val="24"/>
        </w:rPr>
        <w:t>s</w:t>
      </w:r>
      <w:r w:rsidR="003E5F8A">
        <w:rPr>
          <w:rFonts w:ascii="Times New Roman" w:hAnsi="Times New Roman"/>
          <w:sz w:val="24"/>
          <w:szCs w:val="24"/>
        </w:rPr>
        <w:t xml:space="preserve"> artigos</w:t>
      </w:r>
      <w:r w:rsidRPr="00185FDE">
        <w:rPr>
          <w:rFonts w:ascii="Times New Roman" w:hAnsi="Times New Roman"/>
          <w:sz w:val="24"/>
          <w:szCs w:val="24"/>
        </w:rPr>
        <w:t xml:space="preserve"> </w:t>
      </w:r>
      <w:r w:rsidR="007B187D" w:rsidRPr="00185FDE">
        <w:rPr>
          <w:rFonts w:ascii="Times New Roman" w:hAnsi="Times New Roman"/>
          <w:sz w:val="24"/>
          <w:szCs w:val="24"/>
        </w:rPr>
        <w:t>científicos publicados</w:t>
      </w:r>
      <w:r w:rsidR="003E5F8A">
        <w:rPr>
          <w:rFonts w:ascii="Times New Roman" w:hAnsi="Times New Roman"/>
          <w:sz w:val="24"/>
          <w:szCs w:val="24"/>
        </w:rPr>
        <w:t xml:space="preserve"> ao longo do período</w:t>
      </w:r>
      <w:r w:rsidRPr="00185FDE">
        <w:rPr>
          <w:rFonts w:ascii="Times New Roman" w:hAnsi="Times New Roman"/>
          <w:sz w:val="24"/>
          <w:szCs w:val="24"/>
        </w:rPr>
        <w:t xml:space="preserve"> </w:t>
      </w:r>
      <w:r w:rsidRPr="00100CEF">
        <w:rPr>
          <w:rFonts w:ascii="Times New Roman" w:hAnsi="Times New Roman"/>
          <w:sz w:val="24"/>
          <w:szCs w:val="24"/>
        </w:rPr>
        <w:t>de 1987 a 2017.</w:t>
      </w:r>
      <w:r w:rsidR="006C540A">
        <w:rPr>
          <w:rFonts w:ascii="Times New Roman" w:hAnsi="Times New Roman"/>
          <w:sz w:val="24"/>
          <w:szCs w:val="24"/>
        </w:rPr>
        <w:t xml:space="preserve"> </w:t>
      </w:r>
      <w:r w:rsidR="00F77794">
        <w:rPr>
          <w:rFonts w:ascii="Times New Roman" w:hAnsi="Times New Roman"/>
          <w:sz w:val="24"/>
          <w:szCs w:val="24"/>
        </w:rPr>
        <w:t>Os resultados foram alcançados c</w:t>
      </w:r>
      <w:r w:rsidR="000D5758">
        <w:rPr>
          <w:rFonts w:ascii="Times New Roman" w:hAnsi="Times New Roman"/>
          <w:sz w:val="24"/>
          <w:szCs w:val="24"/>
        </w:rPr>
        <w:t>om o auxílio da ferramenta de busca no site</w:t>
      </w:r>
      <w:r w:rsidR="000D5758">
        <w:rPr>
          <w:rFonts w:ascii="Times New Roman" w:hAnsi="Times New Roman"/>
          <w:i/>
          <w:sz w:val="24"/>
          <w:szCs w:val="24"/>
        </w:rPr>
        <w:t xml:space="preserve"> ISI Web </w:t>
      </w:r>
      <w:proofErr w:type="spellStart"/>
      <w:r w:rsidR="000D5758">
        <w:rPr>
          <w:rFonts w:ascii="Times New Roman" w:hAnsi="Times New Roman"/>
          <w:i/>
          <w:sz w:val="24"/>
          <w:szCs w:val="24"/>
        </w:rPr>
        <w:t>of</w:t>
      </w:r>
      <w:proofErr w:type="spellEnd"/>
      <w:r w:rsidR="000D5758">
        <w:rPr>
          <w:rFonts w:ascii="Times New Roman" w:hAnsi="Times New Roman"/>
          <w:i/>
          <w:sz w:val="24"/>
          <w:szCs w:val="24"/>
        </w:rPr>
        <w:t xml:space="preserve"> Science</w:t>
      </w:r>
      <w:r w:rsidR="000D5758">
        <w:rPr>
          <w:rFonts w:ascii="Times New Roman" w:hAnsi="Times New Roman"/>
          <w:sz w:val="24"/>
          <w:szCs w:val="24"/>
        </w:rPr>
        <w:t xml:space="preserve"> e dos recursos disponíveis no Excel e </w:t>
      </w:r>
      <w:proofErr w:type="spellStart"/>
      <w:proofErr w:type="gramStart"/>
      <w:r w:rsidR="000D5758">
        <w:rPr>
          <w:rFonts w:ascii="Times New Roman" w:hAnsi="Times New Roman"/>
          <w:i/>
          <w:sz w:val="24"/>
          <w:szCs w:val="24"/>
        </w:rPr>
        <w:t>HistCite</w:t>
      </w:r>
      <w:proofErr w:type="spellEnd"/>
      <w:proofErr w:type="gramEnd"/>
      <w:r w:rsidR="00F77794">
        <w:rPr>
          <w:rFonts w:ascii="Times New Roman" w:hAnsi="Times New Roman"/>
          <w:i/>
          <w:sz w:val="24"/>
          <w:szCs w:val="24"/>
        </w:rPr>
        <w:t xml:space="preserve">. </w:t>
      </w:r>
      <w:r w:rsidR="00F77794">
        <w:rPr>
          <w:rFonts w:ascii="Times New Roman" w:hAnsi="Times New Roman"/>
          <w:sz w:val="24"/>
          <w:szCs w:val="24"/>
        </w:rPr>
        <w:t>Por meio dos mesmos, foi</w:t>
      </w:r>
      <w:r w:rsidR="000D5758">
        <w:rPr>
          <w:rFonts w:ascii="Times New Roman" w:hAnsi="Times New Roman"/>
          <w:sz w:val="24"/>
          <w:szCs w:val="24"/>
        </w:rPr>
        <w:t xml:space="preserve"> possível fazer </w:t>
      </w:r>
      <w:r w:rsidR="00864330">
        <w:rPr>
          <w:rFonts w:ascii="Times New Roman" w:hAnsi="Times New Roman"/>
          <w:sz w:val="24"/>
          <w:szCs w:val="24"/>
        </w:rPr>
        <w:t>um reconhecimento</w:t>
      </w:r>
      <w:r w:rsidR="000D5758">
        <w:rPr>
          <w:rFonts w:ascii="Times New Roman" w:hAnsi="Times New Roman"/>
          <w:sz w:val="24"/>
          <w:szCs w:val="24"/>
        </w:rPr>
        <w:t xml:space="preserve"> inicial acerca </w:t>
      </w:r>
      <w:r w:rsidR="00F77794">
        <w:rPr>
          <w:rFonts w:ascii="Times New Roman" w:hAnsi="Times New Roman"/>
          <w:sz w:val="24"/>
          <w:szCs w:val="24"/>
        </w:rPr>
        <w:t xml:space="preserve">da situação das </w:t>
      </w:r>
      <w:r w:rsidR="00B13ED6">
        <w:rPr>
          <w:rFonts w:ascii="Times New Roman" w:hAnsi="Times New Roman"/>
          <w:sz w:val="24"/>
          <w:szCs w:val="24"/>
        </w:rPr>
        <w:t xml:space="preserve">produções </w:t>
      </w:r>
      <w:r w:rsidR="00864330">
        <w:rPr>
          <w:rFonts w:ascii="Times New Roman" w:hAnsi="Times New Roman"/>
          <w:sz w:val="24"/>
          <w:szCs w:val="24"/>
        </w:rPr>
        <w:t>científicas</w:t>
      </w:r>
      <w:r w:rsidR="00F77794">
        <w:rPr>
          <w:rFonts w:ascii="Times New Roman" w:hAnsi="Times New Roman"/>
          <w:sz w:val="24"/>
          <w:szCs w:val="24"/>
        </w:rPr>
        <w:t xml:space="preserve"> sobre o tema fármacos e </w:t>
      </w:r>
      <w:proofErr w:type="spellStart"/>
      <w:r w:rsidR="00F77794">
        <w:rPr>
          <w:rFonts w:ascii="Times New Roman" w:hAnsi="Times New Roman"/>
          <w:sz w:val="24"/>
          <w:szCs w:val="24"/>
        </w:rPr>
        <w:t>quiralidade</w:t>
      </w:r>
      <w:proofErr w:type="spellEnd"/>
      <w:r w:rsidR="00F77794">
        <w:rPr>
          <w:rFonts w:ascii="Times New Roman" w:hAnsi="Times New Roman"/>
          <w:sz w:val="24"/>
          <w:szCs w:val="24"/>
        </w:rPr>
        <w:t>.</w:t>
      </w:r>
    </w:p>
    <w:p w:rsidR="003E5F8A" w:rsidRDefault="003E5F8A" w:rsidP="0022234B">
      <w:pPr>
        <w:spacing w:after="0"/>
        <w:ind w:firstLine="708"/>
        <w:jc w:val="both"/>
        <w:rPr>
          <w:rFonts w:ascii="Times New Roman" w:hAnsi="Times New Roman"/>
          <w:sz w:val="24"/>
          <w:szCs w:val="24"/>
        </w:rPr>
      </w:pPr>
      <w:r>
        <w:rPr>
          <w:rFonts w:ascii="Times New Roman" w:hAnsi="Times New Roman"/>
          <w:sz w:val="24"/>
          <w:szCs w:val="24"/>
        </w:rPr>
        <w:t xml:space="preserve">A primeira </w:t>
      </w:r>
      <w:r w:rsidR="000446AE">
        <w:rPr>
          <w:rFonts w:ascii="Times New Roman" w:hAnsi="Times New Roman"/>
          <w:sz w:val="24"/>
          <w:szCs w:val="24"/>
        </w:rPr>
        <w:t>atividade</w:t>
      </w:r>
      <w:r>
        <w:rPr>
          <w:rFonts w:ascii="Times New Roman" w:hAnsi="Times New Roman"/>
          <w:sz w:val="24"/>
          <w:szCs w:val="24"/>
        </w:rPr>
        <w:t xml:space="preserve"> envolveu a definição das palavras-chaves que seriam utilizadas para a busca no site </w:t>
      </w:r>
      <w:r>
        <w:rPr>
          <w:rFonts w:ascii="Times New Roman" w:hAnsi="Times New Roman"/>
          <w:i/>
          <w:sz w:val="24"/>
          <w:szCs w:val="24"/>
        </w:rPr>
        <w:t xml:space="preserve">ISI Web </w:t>
      </w:r>
      <w:proofErr w:type="spellStart"/>
      <w:r>
        <w:rPr>
          <w:rFonts w:ascii="Times New Roman" w:hAnsi="Times New Roman"/>
          <w:i/>
          <w:sz w:val="24"/>
          <w:szCs w:val="24"/>
        </w:rPr>
        <w:t>of</w:t>
      </w:r>
      <w:proofErr w:type="spellEnd"/>
      <w:r>
        <w:rPr>
          <w:rFonts w:ascii="Times New Roman" w:hAnsi="Times New Roman"/>
          <w:i/>
          <w:sz w:val="24"/>
          <w:szCs w:val="24"/>
        </w:rPr>
        <w:t xml:space="preserve"> Science. </w:t>
      </w:r>
      <w:r>
        <w:rPr>
          <w:rFonts w:ascii="Times New Roman" w:hAnsi="Times New Roman"/>
          <w:sz w:val="24"/>
          <w:szCs w:val="24"/>
        </w:rPr>
        <w:t xml:space="preserve">Posteriormente, foi realizado mais um filtro, buscando o direcionamento para aqueles artigos mais </w:t>
      </w:r>
      <w:r w:rsidR="000446AE">
        <w:rPr>
          <w:rFonts w:ascii="Times New Roman" w:hAnsi="Times New Roman"/>
          <w:sz w:val="24"/>
          <w:szCs w:val="24"/>
        </w:rPr>
        <w:t>específicos ao tema da pesquisa, selecionou-se assim, 806 artigos.</w:t>
      </w:r>
    </w:p>
    <w:p w:rsidR="003E5F8A" w:rsidRDefault="003E5F8A" w:rsidP="006C540A">
      <w:pPr>
        <w:spacing w:after="0"/>
        <w:ind w:firstLine="708"/>
        <w:jc w:val="both"/>
        <w:rPr>
          <w:rFonts w:ascii="Times New Roman" w:hAnsi="Times New Roman"/>
          <w:sz w:val="24"/>
          <w:szCs w:val="24"/>
        </w:rPr>
      </w:pPr>
      <w:r>
        <w:rPr>
          <w:rFonts w:ascii="Times New Roman" w:hAnsi="Times New Roman"/>
          <w:sz w:val="24"/>
          <w:szCs w:val="24"/>
        </w:rPr>
        <w:t>Após a triagem dos artigos,</w:t>
      </w:r>
      <w:r w:rsidR="00532EFC">
        <w:rPr>
          <w:rFonts w:ascii="Times New Roman" w:hAnsi="Times New Roman"/>
          <w:sz w:val="24"/>
          <w:szCs w:val="24"/>
        </w:rPr>
        <w:t xml:space="preserve"> observou-se que</w:t>
      </w:r>
      <w:r>
        <w:rPr>
          <w:rFonts w:ascii="Times New Roman" w:hAnsi="Times New Roman"/>
          <w:sz w:val="24"/>
          <w:szCs w:val="24"/>
        </w:rPr>
        <w:t xml:space="preserve"> </w:t>
      </w:r>
      <w:proofErr w:type="spellStart"/>
      <w:r w:rsidRPr="00A20FEC">
        <w:rPr>
          <w:rFonts w:ascii="Times New Roman" w:hAnsi="Times New Roman"/>
          <w:sz w:val="24"/>
          <w:szCs w:val="24"/>
        </w:rPr>
        <w:t>Aboul-Enein</w:t>
      </w:r>
      <w:proofErr w:type="spellEnd"/>
      <w:r w:rsidR="00E7111F">
        <w:rPr>
          <w:rFonts w:ascii="Times New Roman" w:hAnsi="Times New Roman"/>
          <w:sz w:val="24"/>
          <w:szCs w:val="24"/>
        </w:rPr>
        <w:t>,</w:t>
      </w:r>
      <w:r w:rsidRPr="00A20FEC">
        <w:rPr>
          <w:rFonts w:ascii="Times New Roman" w:hAnsi="Times New Roman"/>
          <w:sz w:val="24"/>
          <w:szCs w:val="24"/>
        </w:rPr>
        <w:t xml:space="preserve"> H.Y.</w:t>
      </w:r>
      <w:r>
        <w:rPr>
          <w:rFonts w:ascii="Times New Roman" w:hAnsi="Times New Roman"/>
          <w:sz w:val="24"/>
          <w:szCs w:val="24"/>
        </w:rPr>
        <w:t xml:space="preserve">I. </w:t>
      </w:r>
      <w:proofErr w:type="gramStart"/>
      <w:r>
        <w:rPr>
          <w:rFonts w:ascii="Times New Roman" w:hAnsi="Times New Roman"/>
          <w:sz w:val="24"/>
          <w:szCs w:val="24"/>
        </w:rPr>
        <w:t>foi</w:t>
      </w:r>
      <w:proofErr w:type="gramEnd"/>
      <w:r>
        <w:rPr>
          <w:rFonts w:ascii="Times New Roman" w:hAnsi="Times New Roman"/>
          <w:sz w:val="24"/>
          <w:szCs w:val="24"/>
        </w:rPr>
        <w:t xml:space="preserve"> o autor que mais </w:t>
      </w:r>
      <w:r w:rsidRPr="00100CEF">
        <w:rPr>
          <w:rFonts w:ascii="Times New Roman" w:hAnsi="Times New Roman"/>
          <w:sz w:val="24"/>
          <w:szCs w:val="24"/>
        </w:rPr>
        <w:t>se destacou, com o maior número de publicações, 2</w:t>
      </w:r>
      <w:r w:rsidR="00100CEF" w:rsidRPr="00100CEF">
        <w:rPr>
          <w:rFonts w:ascii="Times New Roman" w:hAnsi="Times New Roman"/>
          <w:sz w:val="24"/>
          <w:szCs w:val="24"/>
        </w:rPr>
        <w:t>5</w:t>
      </w:r>
      <w:r w:rsidRPr="00100CEF">
        <w:rPr>
          <w:rFonts w:ascii="Times New Roman" w:hAnsi="Times New Roman"/>
          <w:sz w:val="24"/>
          <w:szCs w:val="24"/>
        </w:rPr>
        <w:t xml:space="preserve">, </w:t>
      </w:r>
      <w:r w:rsidR="00100CEF" w:rsidRPr="00100CEF">
        <w:rPr>
          <w:rFonts w:ascii="Times New Roman" w:hAnsi="Times New Roman"/>
          <w:sz w:val="24"/>
          <w:szCs w:val="24"/>
        </w:rPr>
        <w:t xml:space="preserve">já </w:t>
      </w:r>
      <w:r w:rsidR="00532EFC" w:rsidRPr="00100CEF">
        <w:rPr>
          <w:rFonts w:ascii="Times New Roman" w:hAnsi="Times New Roman"/>
          <w:sz w:val="24"/>
          <w:szCs w:val="24"/>
        </w:rPr>
        <w:t>o</w:t>
      </w:r>
      <w:r w:rsidRPr="00100CEF">
        <w:rPr>
          <w:rFonts w:ascii="Times New Roman" w:hAnsi="Times New Roman"/>
          <w:sz w:val="24"/>
          <w:szCs w:val="24"/>
        </w:rPr>
        <w:t xml:space="preserve"> </w:t>
      </w:r>
      <w:r w:rsidR="00532EFC" w:rsidRPr="00100CEF">
        <w:rPr>
          <w:rFonts w:ascii="Times New Roman" w:hAnsi="Times New Roman"/>
          <w:sz w:val="24"/>
          <w:szCs w:val="24"/>
        </w:rPr>
        <w:t xml:space="preserve">mais elevado </w:t>
      </w:r>
      <w:r w:rsidRPr="00100CEF">
        <w:rPr>
          <w:rFonts w:ascii="Times New Roman" w:hAnsi="Times New Roman"/>
          <w:sz w:val="24"/>
          <w:szCs w:val="24"/>
        </w:rPr>
        <w:t xml:space="preserve">número de citações, </w:t>
      </w:r>
      <w:r w:rsidR="00100CEF" w:rsidRPr="00100CEF">
        <w:rPr>
          <w:rFonts w:ascii="Times New Roman" w:hAnsi="Times New Roman"/>
          <w:sz w:val="24"/>
          <w:szCs w:val="24"/>
        </w:rPr>
        <w:t xml:space="preserve">foi para autor </w:t>
      </w:r>
      <w:proofErr w:type="spellStart"/>
      <w:r w:rsidR="00100CEF" w:rsidRPr="00100CEF">
        <w:rPr>
          <w:rFonts w:ascii="Times New Roman" w:hAnsi="Times New Roman"/>
          <w:sz w:val="24"/>
          <w:szCs w:val="24"/>
        </w:rPr>
        <w:t>Fanali</w:t>
      </w:r>
      <w:proofErr w:type="spellEnd"/>
      <w:r w:rsidR="00E7111F">
        <w:rPr>
          <w:rFonts w:ascii="Times New Roman" w:hAnsi="Times New Roman"/>
          <w:sz w:val="24"/>
          <w:szCs w:val="24"/>
        </w:rPr>
        <w:t>,</w:t>
      </w:r>
      <w:r w:rsidR="00100CEF" w:rsidRPr="00100CEF">
        <w:rPr>
          <w:rFonts w:ascii="Times New Roman" w:hAnsi="Times New Roman"/>
          <w:sz w:val="24"/>
          <w:szCs w:val="24"/>
        </w:rPr>
        <w:t xml:space="preserve"> S</w:t>
      </w:r>
      <w:r w:rsidRPr="00100CEF">
        <w:rPr>
          <w:rFonts w:ascii="Times New Roman" w:hAnsi="Times New Roman"/>
          <w:sz w:val="24"/>
          <w:szCs w:val="24"/>
        </w:rPr>
        <w:t>.</w:t>
      </w:r>
      <w:r w:rsidR="00E7111F">
        <w:rPr>
          <w:rFonts w:ascii="Times New Roman" w:hAnsi="Times New Roman"/>
          <w:sz w:val="24"/>
          <w:szCs w:val="24"/>
        </w:rPr>
        <w:t>.</w:t>
      </w:r>
      <w:r w:rsidR="006C540A">
        <w:rPr>
          <w:rFonts w:ascii="Times New Roman" w:hAnsi="Times New Roman"/>
          <w:sz w:val="24"/>
          <w:szCs w:val="24"/>
        </w:rPr>
        <w:t xml:space="preserve"> Por outro lado,</w:t>
      </w:r>
      <w:r w:rsidR="00100CEF" w:rsidRPr="00100CEF">
        <w:rPr>
          <w:rFonts w:ascii="Times New Roman" w:hAnsi="Times New Roman"/>
          <w:sz w:val="24"/>
          <w:szCs w:val="24"/>
        </w:rPr>
        <w:t xml:space="preserve"> o autor </w:t>
      </w:r>
      <w:proofErr w:type="spellStart"/>
      <w:r w:rsidR="00100CEF" w:rsidRPr="00100CEF">
        <w:rPr>
          <w:rFonts w:ascii="Times New Roman" w:hAnsi="Times New Roman"/>
          <w:sz w:val="24"/>
          <w:szCs w:val="24"/>
        </w:rPr>
        <w:t>Nielen</w:t>
      </w:r>
      <w:proofErr w:type="spellEnd"/>
      <w:r w:rsidR="00100CEF" w:rsidRPr="00100CEF">
        <w:rPr>
          <w:rFonts w:ascii="Times New Roman" w:hAnsi="Times New Roman"/>
          <w:sz w:val="24"/>
          <w:szCs w:val="24"/>
        </w:rPr>
        <w:t xml:space="preserve"> M.W.F. f</w:t>
      </w:r>
      <w:r w:rsidRPr="00100CEF">
        <w:rPr>
          <w:rFonts w:ascii="Times New Roman" w:hAnsi="Times New Roman"/>
          <w:sz w:val="24"/>
          <w:szCs w:val="24"/>
        </w:rPr>
        <w:t xml:space="preserve">oi identificado </w:t>
      </w:r>
      <w:r w:rsidR="00100CEF" w:rsidRPr="00100CEF">
        <w:rPr>
          <w:rFonts w:ascii="Times New Roman" w:hAnsi="Times New Roman"/>
          <w:sz w:val="24"/>
          <w:szCs w:val="24"/>
        </w:rPr>
        <w:t>como sendo</w:t>
      </w:r>
      <w:r w:rsidRPr="00100CEF">
        <w:rPr>
          <w:rFonts w:ascii="Times New Roman" w:hAnsi="Times New Roman"/>
          <w:sz w:val="24"/>
          <w:szCs w:val="24"/>
        </w:rPr>
        <w:t xml:space="preserve"> o autor referência e ponto de partida para vários outros trabalhos e que suas publicações continuam importantes ao longo tempo.</w:t>
      </w:r>
    </w:p>
    <w:p w:rsidR="003E5F8A" w:rsidRPr="003E5F8A" w:rsidRDefault="00E7111F" w:rsidP="0022234B">
      <w:pPr>
        <w:spacing w:after="0"/>
        <w:ind w:firstLine="708"/>
        <w:jc w:val="both"/>
        <w:rPr>
          <w:rFonts w:ascii="Times New Roman" w:hAnsi="Times New Roman"/>
          <w:sz w:val="24"/>
          <w:szCs w:val="24"/>
        </w:rPr>
      </w:pPr>
      <w:r>
        <w:rPr>
          <w:rFonts w:ascii="Times New Roman" w:hAnsi="Times New Roman"/>
          <w:sz w:val="24"/>
          <w:szCs w:val="24"/>
        </w:rPr>
        <w:lastRenderedPageBreak/>
        <w:t xml:space="preserve">A próxima etapa consistiu na identificação dos principais periódicos que </w:t>
      </w:r>
      <w:r w:rsidR="004C769B">
        <w:rPr>
          <w:rFonts w:ascii="Times New Roman" w:hAnsi="Times New Roman"/>
          <w:sz w:val="24"/>
          <w:szCs w:val="24"/>
        </w:rPr>
        <w:t>possuíam</w:t>
      </w:r>
      <w:r>
        <w:rPr>
          <w:rFonts w:ascii="Times New Roman" w:hAnsi="Times New Roman"/>
          <w:sz w:val="24"/>
          <w:szCs w:val="24"/>
        </w:rPr>
        <w:t xml:space="preserve"> o maior número de publicações </w:t>
      </w:r>
      <w:r w:rsidR="000446AE">
        <w:rPr>
          <w:rFonts w:ascii="Times New Roman" w:hAnsi="Times New Roman"/>
          <w:sz w:val="24"/>
          <w:szCs w:val="24"/>
        </w:rPr>
        <w:t>relacionadas ao</w:t>
      </w:r>
      <w:r>
        <w:rPr>
          <w:rFonts w:ascii="Times New Roman" w:hAnsi="Times New Roman"/>
          <w:sz w:val="24"/>
          <w:szCs w:val="24"/>
        </w:rPr>
        <w:t xml:space="preserve"> tema fármacos e </w:t>
      </w:r>
      <w:proofErr w:type="spellStart"/>
      <w:r>
        <w:rPr>
          <w:rFonts w:ascii="Times New Roman" w:hAnsi="Times New Roman"/>
          <w:sz w:val="24"/>
          <w:szCs w:val="24"/>
        </w:rPr>
        <w:t>quiralidade</w:t>
      </w:r>
      <w:proofErr w:type="spellEnd"/>
      <w:r>
        <w:rPr>
          <w:rFonts w:ascii="Times New Roman" w:hAnsi="Times New Roman"/>
          <w:sz w:val="24"/>
          <w:szCs w:val="24"/>
        </w:rPr>
        <w:t xml:space="preserve">, com destaque </w:t>
      </w:r>
      <w:r w:rsidRPr="00E7111F">
        <w:rPr>
          <w:rFonts w:ascii="Times New Roman" w:hAnsi="Times New Roman"/>
          <w:sz w:val="24"/>
          <w:szCs w:val="24"/>
        </w:rPr>
        <w:t>para</w:t>
      </w:r>
      <w:r w:rsidRPr="008C049C">
        <w:rPr>
          <w:rFonts w:ascii="Times New Roman" w:hAnsi="Times New Roman"/>
          <w:i/>
          <w:sz w:val="24"/>
          <w:szCs w:val="24"/>
        </w:rPr>
        <w:t xml:space="preserve"> </w:t>
      </w:r>
      <w:proofErr w:type="spellStart"/>
      <w:r w:rsidRPr="008C049C">
        <w:rPr>
          <w:rFonts w:ascii="Times New Roman" w:hAnsi="Times New Roman"/>
          <w:i/>
          <w:sz w:val="24"/>
          <w:szCs w:val="24"/>
        </w:rPr>
        <w:t>Journal</w:t>
      </w:r>
      <w:proofErr w:type="spellEnd"/>
      <w:r w:rsidRPr="008C049C">
        <w:rPr>
          <w:rFonts w:ascii="Times New Roman" w:hAnsi="Times New Roman"/>
          <w:i/>
          <w:sz w:val="24"/>
          <w:szCs w:val="24"/>
        </w:rPr>
        <w:t xml:space="preserve"> </w:t>
      </w:r>
      <w:proofErr w:type="spellStart"/>
      <w:r w:rsidRPr="008C049C">
        <w:rPr>
          <w:rFonts w:ascii="Times New Roman" w:hAnsi="Times New Roman"/>
          <w:i/>
          <w:sz w:val="24"/>
          <w:szCs w:val="24"/>
        </w:rPr>
        <w:t>of</w:t>
      </w:r>
      <w:proofErr w:type="spellEnd"/>
      <w:r w:rsidRPr="008C049C">
        <w:rPr>
          <w:rFonts w:ascii="Times New Roman" w:hAnsi="Times New Roman"/>
          <w:i/>
          <w:sz w:val="24"/>
          <w:szCs w:val="24"/>
        </w:rPr>
        <w:t xml:space="preserve"> </w:t>
      </w:r>
      <w:proofErr w:type="spellStart"/>
      <w:r w:rsidRPr="008C049C">
        <w:rPr>
          <w:rFonts w:ascii="Times New Roman" w:hAnsi="Times New Roman"/>
          <w:i/>
          <w:sz w:val="24"/>
          <w:szCs w:val="24"/>
        </w:rPr>
        <w:t>Chromatography</w:t>
      </w:r>
      <w:proofErr w:type="spellEnd"/>
      <w:r w:rsidRPr="008C049C">
        <w:rPr>
          <w:rFonts w:ascii="Times New Roman" w:hAnsi="Times New Roman"/>
          <w:i/>
          <w:sz w:val="24"/>
          <w:szCs w:val="24"/>
        </w:rPr>
        <w:t xml:space="preserve"> A</w:t>
      </w:r>
      <w:r>
        <w:rPr>
          <w:rFonts w:ascii="Times New Roman" w:hAnsi="Times New Roman"/>
          <w:sz w:val="24"/>
          <w:szCs w:val="24"/>
        </w:rPr>
        <w:t>. Tal informação é bastante relevante</w:t>
      </w:r>
      <w:proofErr w:type="gramStart"/>
      <w:r>
        <w:rPr>
          <w:rFonts w:ascii="Times New Roman" w:hAnsi="Times New Roman"/>
          <w:sz w:val="24"/>
          <w:szCs w:val="24"/>
        </w:rPr>
        <w:t xml:space="preserve"> pois</w:t>
      </w:r>
      <w:proofErr w:type="gramEnd"/>
      <w:r>
        <w:rPr>
          <w:rFonts w:ascii="Times New Roman" w:hAnsi="Times New Roman"/>
          <w:sz w:val="24"/>
          <w:szCs w:val="24"/>
        </w:rPr>
        <w:t xml:space="preserve"> poderá auxiliar e ser utilizada como referencial no aprimoramento e na seleção de artigos e para futuros estudos. Em sequência</w:t>
      </w:r>
      <w:r w:rsidR="000446AE">
        <w:rPr>
          <w:rFonts w:ascii="Times New Roman" w:hAnsi="Times New Roman"/>
          <w:sz w:val="24"/>
          <w:szCs w:val="24"/>
        </w:rPr>
        <w:t>,</w:t>
      </w:r>
      <w:r>
        <w:rPr>
          <w:rFonts w:ascii="Times New Roman" w:hAnsi="Times New Roman"/>
          <w:sz w:val="24"/>
          <w:szCs w:val="24"/>
        </w:rPr>
        <w:t xml:space="preserve"> houve a análise do número de publicações nos últimos 10 anos.</w:t>
      </w:r>
    </w:p>
    <w:p w:rsidR="00C503B5" w:rsidRDefault="00534887" w:rsidP="0022234B">
      <w:pPr>
        <w:spacing w:after="0"/>
        <w:ind w:firstLine="708"/>
        <w:jc w:val="both"/>
        <w:rPr>
          <w:rFonts w:ascii="Times New Roman" w:hAnsi="Times New Roman"/>
          <w:sz w:val="24"/>
          <w:szCs w:val="24"/>
        </w:rPr>
      </w:pPr>
      <w:r>
        <w:rPr>
          <w:rFonts w:ascii="Times New Roman" w:hAnsi="Times New Roman"/>
          <w:sz w:val="24"/>
          <w:szCs w:val="24"/>
        </w:rPr>
        <w:t>Portanto,</w:t>
      </w:r>
      <w:r w:rsidR="00F702BB">
        <w:rPr>
          <w:rFonts w:ascii="Times New Roman" w:hAnsi="Times New Roman"/>
          <w:sz w:val="24"/>
          <w:szCs w:val="24"/>
        </w:rPr>
        <w:t xml:space="preserve"> por meio desse estudo e mapeamento bibliográfico, almeja-se </w:t>
      </w:r>
      <w:r>
        <w:rPr>
          <w:rFonts w:ascii="Times New Roman" w:hAnsi="Times New Roman"/>
          <w:sz w:val="24"/>
          <w:szCs w:val="24"/>
        </w:rPr>
        <w:t>despertar o interesse</w:t>
      </w:r>
      <w:r w:rsidR="003E5F8A">
        <w:rPr>
          <w:rFonts w:ascii="Times New Roman" w:hAnsi="Times New Roman"/>
          <w:sz w:val="24"/>
          <w:szCs w:val="24"/>
        </w:rPr>
        <w:t xml:space="preserve"> </w:t>
      </w:r>
      <w:r>
        <w:rPr>
          <w:rFonts w:ascii="Times New Roman" w:hAnsi="Times New Roman"/>
          <w:sz w:val="24"/>
          <w:szCs w:val="24"/>
        </w:rPr>
        <w:t>do</w:t>
      </w:r>
      <w:r w:rsidRPr="00534887">
        <w:rPr>
          <w:rFonts w:ascii="Times New Roman" w:hAnsi="Times New Roman"/>
          <w:sz w:val="24"/>
          <w:szCs w:val="24"/>
        </w:rPr>
        <w:t>s pesquisadores que trabalham na academia</w:t>
      </w:r>
      <w:r>
        <w:rPr>
          <w:rFonts w:ascii="Times New Roman" w:hAnsi="Times New Roman"/>
          <w:sz w:val="24"/>
          <w:szCs w:val="24"/>
        </w:rPr>
        <w:t xml:space="preserve"> bem como daqueles que trabalham na </w:t>
      </w:r>
      <w:r w:rsidRPr="00534887">
        <w:rPr>
          <w:rFonts w:ascii="Times New Roman" w:hAnsi="Times New Roman"/>
          <w:sz w:val="24"/>
          <w:szCs w:val="24"/>
        </w:rPr>
        <w:t>indústria farmacêutica</w:t>
      </w:r>
      <w:r w:rsidR="00F702BB">
        <w:rPr>
          <w:rFonts w:ascii="Times New Roman" w:hAnsi="Times New Roman"/>
          <w:sz w:val="24"/>
          <w:szCs w:val="24"/>
        </w:rPr>
        <w:t xml:space="preserve"> no tema</w:t>
      </w:r>
      <w:r w:rsidR="00F2627A">
        <w:rPr>
          <w:rFonts w:ascii="Times New Roman" w:hAnsi="Times New Roman"/>
          <w:sz w:val="24"/>
          <w:szCs w:val="24"/>
        </w:rPr>
        <w:t xml:space="preserve"> e incentivá-los a</w:t>
      </w:r>
      <w:r w:rsidRPr="00534887">
        <w:rPr>
          <w:rFonts w:ascii="Times New Roman" w:hAnsi="Times New Roman"/>
          <w:sz w:val="24"/>
          <w:szCs w:val="24"/>
        </w:rPr>
        <w:t xml:space="preserve"> preencher a lacuna, ou seja, </w:t>
      </w:r>
      <w:r>
        <w:rPr>
          <w:rFonts w:ascii="Times New Roman" w:hAnsi="Times New Roman"/>
          <w:sz w:val="24"/>
          <w:szCs w:val="24"/>
        </w:rPr>
        <w:t>estudar,</w:t>
      </w:r>
      <w:r w:rsidRPr="00534887">
        <w:rPr>
          <w:rFonts w:ascii="Times New Roman" w:hAnsi="Times New Roman"/>
          <w:sz w:val="24"/>
          <w:szCs w:val="24"/>
        </w:rPr>
        <w:t xml:space="preserve"> desenvolver</w:t>
      </w:r>
      <w:r w:rsidR="00F702BB">
        <w:rPr>
          <w:rFonts w:ascii="Times New Roman" w:hAnsi="Times New Roman"/>
          <w:sz w:val="24"/>
          <w:szCs w:val="24"/>
        </w:rPr>
        <w:t xml:space="preserve"> e refinar</w:t>
      </w:r>
      <w:r w:rsidRPr="00534887">
        <w:rPr>
          <w:rFonts w:ascii="Times New Roman" w:hAnsi="Times New Roman"/>
          <w:sz w:val="24"/>
          <w:szCs w:val="24"/>
        </w:rPr>
        <w:t xml:space="preserve"> métodos analíticos</w:t>
      </w:r>
      <w:r w:rsidR="00904705">
        <w:rPr>
          <w:rFonts w:ascii="Times New Roman" w:hAnsi="Times New Roman"/>
          <w:sz w:val="24"/>
          <w:szCs w:val="24"/>
        </w:rPr>
        <w:t xml:space="preserve"> </w:t>
      </w:r>
      <w:proofErr w:type="spellStart"/>
      <w:r w:rsidR="00904705">
        <w:rPr>
          <w:rFonts w:ascii="Times New Roman" w:hAnsi="Times New Roman"/>
          <w:sz w:val="24"/>
          <w:szCs w:val="24"/>
        </w:rPr>
        <w:t>enantiosseletivos</w:t>
      </w:r>
      <w:proofErr w:type="spellEnd"/>
      <w:r w:rsidR="00904705">
        <w:rPr>
          <w:rFonts w:ascii="Times New Roman" w:hAnsi="Times New Roman"/>
          <w:sz w:val="24"/>
          <w:szCs w:val="24"/>
        </w:rPr>
        <w:t xml:space="preserve"> eficientes e menos dispendiosos</w:t>
      </w:r>
      <w:r>
        <w:rPr>
          <w:rFonts w:ascii="Times New Roman" w:hAnsi="Times New Roman"/>
          <w:sz w:val="24"/>
          <w:szCs w:val="24"/>
        </w:rPr>
        <w:t xml:space="preserve"> </w:t>
      </w:r>
      <w:r w:rsidRPr="00534887">
        <w:rPr>
          <w:rFonts w:ascii="Times New Roman" w:hAnsi="Times New Roman"/>
          <w:sz w:val="24"/>
          <w:szCs w:val="24"/>
        </w:rPr>
        <w:t>para os compostos</w:t>
      </w:r>
      <w:r w:rsidR="00904705">
        <w:rPr>
          <w:rFonts w:ascii="Times New Roman" w:hAnsi="Times New Roman"/>
          <w:sz w:val="24"/>
          <w:szCs w:val="24"/>
        </w:rPr>
        <w:t xml:space="preserve"> racêmicos.</w:t>
      </w:r>
    </w:p>
    <w:p w:rsidR="00864330" w:rsidRPr="00534887" w:rsidRDefault="00864330" w:rsidP="0022234B">
      <w:pPr>
        <w:spacing w:after="0"/>
        <w:ind w:firstLine="708"/>
        <w:jc w:val="both"/>
        <w:rPr>
          <w:rFonts w:ascii="Times New Roman" w:hAnsi="Times New Roman"/>
          <w:sz w:val="24"/>
          <w:szCs w:val="24"/>
        </w:rPr>
      </w:pPr>
    </w:p>
    <w:p w:rsidR="002D3FC4" w:rsidRPr="00005647" w:rsidRDefault="002D3FC4" w:rsidP="002D3FC4">
      <w:pPr>
        <w:spacing w:after="0"/>
        <w:jc w:val="both"/>
        <w:rPr>
          <w:rFonts w:ascii="Times New Roman" w:hAnsi="Times New Roman"/>
          <w:b/>
          <w:sz w:val="24"/>
          <w:szCs w:val="24"/>
        </w:rPr>
      </w:pPr>
      <w:r>
        <w:rPr>
          <w:rFonts w:ascii="Times New Roman" w:hAnsi="Times New Roman"/>
          <w:b/>
          <w:sz w:val="24"/>
          <w:szCs w:val="24"/>
        </w:rPr>
        <w:t xml:space="preserve">6. </w:t>
      </w:r>
      <w:r w:rsidR="00A77CBE" w:rsidRPr="0072621D">
        <w:rPr>
          <w:rFonts w:ascii="Times New Roman" w:hAnsi="Times New Roman"/>
          <w:b/>
          <w:sz w:val="24"/>
          <w:szCs w:val="24"/>
        </w:rPr>
        <w:t>Referências Bibliográficas</w:t>
      </w:r>
    </w:p>
    <w:p w:rsidR="006C540A" w:rsidRPr="006D5FEA" w:rsidRDefault="004616DF"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0446AE">
        <w:rPr>
          <w:rFonts w:ascii="Times New Roman" w:hAnsi="Times New Roman"/>
          <w:sz w:val="20"/>
          <w:szCs w:val="20"/>
          <w:lang w:val="en-US"/>
        </w:rPr>
        <w:fldChar w:fldCharType="begin" w:fldLock="1"/>
      </w:r>
      <w:r w:rsidR="00AA5399" w:rsidRPr="00005647">
        <w:rPr>
          <w:rFonts w:ascii="Times New Roman" w:hAnsi="Times New Roman"/>
          <w:sz w:val="20"/>
          <w:szCs w:val="20"/>
        </w:rPr>
        <w:instrText xml:space="preserve">ADDIN Mendeley Bibliography CSL_BIBLIOGRAPHY </w:instrText>
      </w:r>
      <w:r w:rsidRPr="000446AE">
        <w:rPr>
          <w:rFonts w:ascii="Times New Roman" w:hAnsi="Times New Roman"/>
          <w:sz w:val="20"/>
          <w:szCs w:val="20"/>
          <w:lang w:val="en-US"/>
        </w:rPr>
        <w:fldChar w:fldCharType="separate"/>
      </w:r>
      <w:r w:rsidR="006C540A" w:rsidRPr="006C540A">
        <w:rPr>
          <w:rFonts w:ascii="Times New Roman" w:hAnsi="Times New Roman"/>
          <w:noProof/>
          <w:sz w:val="20"/>
          <w:szCs w:val="24"/>
        </w:rPr>
        <w:t xml:space="preserve">BRONSON, J., BLACK, A., DHAR, T. G. M., ELLSWORTH, B. A., &amp; MERRIT, J. R. (2013). </w:t>
      </w:r>
      <w:r w:rsidR="006C540A" w:rsidRPr="006D5FEA">
        <w:rPr>
          <w:rFonts w:ascii="Times New Roman" w:hAnsi="Times New Roman"/>
          <w:i/>
          <w:iCs/>
          <w:noProof/>
          <w:sz w:val="20"/>
          <w:szCs w:val="24"/>
          <w:lang w:val="en-US"/>
        </w:rPr>
        <w:t>To Market , To Market — 2012</w:t>
      </w:r>
      <w:r w:rsidR="006C540A" w:rsidRPr="006D5FEA">
        <w:rPr>
          <w:rFonts w:ascii="Times New Roman" w:hAnsi="Times New Roman"/>
          <w:noProof/>
          <w:sz w:val="20"/>
          <w:szCs w:val="24"/>
          <w:lang w:val="en-US"/>
        </w:rPr>
        <w:t xml:space="preserve"> (Vol. 48).</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CALCATERRA, A., &amp; D’ACQUARICA, I. (2018). The market of chiral drugs: Chiral switches versus de novo enantiomerically pure compounds. </w:t>
      </w:r>
      <w:r w:rsidRPr="006D5FEA">
        <w:rPr>
          <w:rFonts w:ascii="Times New Roman" w:hAnsi="Times New Roman"/>
          <w:i/>
          <w:iCs/>
          <w:noProof/>
          <w:sz w:val="20"/>
          <w:szCs w:val="24"/>
          <w:lang w:val="en-US"/>
        </w:rPr>
        <w:t>Journal of Pharmaceutical and Biomedical Analysis</w:t>
      </w:r>
      <w:r w:rsidRPr="006D5FEA">
        <w:rPr>
          <w:rFonts w:ascii="Times New Roman" w:hAnsi="Times New Roman"/>
          <w:noProof/>
          <w:sz w:val="20"/>
          <w:szCs w:val="24"/>
          <w:lang w:val="en-US"/>
        </w:rPr>
        <w:t>. https://doi.org/10.1016/j.jpba.2017.07.008</w:t>
      </w:r>
    </w:p>
    <w:p w:rsidR="006C540A" w:rsidRPr="006C540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rPr>
      </w:pPr>
      <w:r w:rsidRPr="006C540A">
        <w:rPr>
          <w:rFonts w:ascii="Times New Roman" w:hAnsi="Times New Roman"/>
          <w:noProof/>
          <w:sz w:val="20"/>
          <w:szCs w:val="24"/>
        </w:rPr>
        <w:t xml:space="preserve">COELHO, F. A. S. (2001). Fármacos e quiralidade. </w:t>
      </w:r>
      <w:r w:rsidRPr="006C540A">
        <w:rPr>
          <w:rFonts w:ascii="Times New Roman" w:hAnsi="Times New Roman"/>
          <w:i/>
          <w:iCs/>
          <w:noProof/>
          <w:sz w:val="20"/>
          <w:szCs w:val="24"/>
        </w:rPr>
        <w:t>Cadernos Temáticos de Química Nova Na Escola</w:t>
      </w:r>
      <w:r w:rsidRPr="006C540A">
        <w:rPr>
          <w:rFonts w:ascii="Times New Roman" w:hAnsi="Times New Roman"/>
          <w:noProof/>
          <w:sz w:val="20"/>
          <w:szCs w:val="24"/>
        </w:rPr>
        <w:t>, (3), 23–32.</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CROSBY J. (1991). Synthesis of optically active compounds: a large scale perspective. </w:t>
      </w:r>
      <w:r w:rsidRPr="006D5FEA">
        <w:rPr>
          <w:rFonts w:ascii="Times New Roman" w:hAnsi="Times New Roman"/>
          <w:i/>
          <w:iCs/>
          <w:noProof/>
          <w:sz w:val="20"/>
          <w:szCs w:val="24"/>
          <w:lang w:val="en-US"/>
        </w:rPr>
        <w:t>Tetrahedron</w:t>
      </w:r>
      <w:r w:rsidRPr="006D5FEA">
        <w:rPr>
          <w:rFonts w:ascii="Times New Roman" w:hAnsi="Times New Roman"/>
          <w:noProof/>
          <w:sz w:val="20"/>
          <w:szCs w:val="24"/>
          <w:lang w:val="en-US"/>
        </w:rPr>
        <w:t xml:space="preserve">, </w:t>
      </w:r>
      <w:r w:rsidRPr="006D5FEA">
        <w:rPr>
          <w:rFonts w:ascii="Times New Roman" w:hAnsi="Times New Roman"/>
          <w:i/>
          <w:iCs/>
          <w:noProof/>
          <w:sz w:val="20"/>
          <w:szCs w:val="24"/>
          <w:lang w:val="en-US"/>
        </w:rPr>
        <w:t>47</w:t>
      </w:r>
      <w:r w:rsidRPr="006D5FEA">
        <w:rPr>
          <w:rFonts w:ascii="Times New Roman" w:hAnsi="Times New Roman"/>
          <w:noProof/>
          <w:sz w:val="20"/>
          <w:szCs w:val="24"/>
          <w:lang w:val="en-US"/>
        </w:rPr>
        <w:t>(27), 4789–4846.</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GARFIELD, E.; PARIS, S. W.; STOCK, W. G. (2006). HistCite TM: A software tool for informetric analysis of citation linkage. </w:t>
      </w:r>
      <w:r w:rsidRPr="006D5FEA">
        <w:rPr>
          <w:rFonts w:ascii="Times New Roman" w:hAnsi="Times New Roman"/>
          <w:i/>
          <w:iCs/>
          <w:noProof/>
          <w:sz w:val="20"/>
          <w:szCs w:val="24"/>
          <w:lang w:val="en-US"/>
        </w:rPr>
        <w:t>Information – Wissenschaft Und Praxis</w:t>
      </w:r>
      <w:r w:rsidRPr="006D5FEA">
        <w:rPr>
          <w:rFonts w:ascii="Times New Roman" w:hAnsi="Times New Roman"/>
          <w:noProof/>
          <w:sz w:val="20"/>
          <w:szCs w:val="24"/>
          <w:lang w:val="en-US"/>
        </w:rPr>
        <w:t xml:space="preserve">, </w:t>
      </w:r>
      <w:r w:rsidRPr="006D5FEA">
        <w:rPr>
          <w:rFonts w:ascii="Times New Roman" w:hAnsi="Times New Roman"/>
          <w:i/>
          <w:iCs/>
          <w:noProof/>
          <w:sz w:val="20"/>
          <w:szCs w:val="24"/>
          <w:lang w:val="en-US"/>
        </w:rPr>
        <w:t>57</w:t>
      </w:r>
      <w:r w:rsidRPr="006D5FEA">
        <w:rPr>
          <w:rFonts w:ascii="Times New Roman" w:hAnsi="Times New Roman"/>
          <w:noProof/>
          <w:sz w:val="20"/>
          <w:szCs w:val="24"/>
          <w:lang w:val="en-US"/>
        </w:rPr>
        <w:t>(8), 341–400.</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KASPRZYK-HORDERN, B. (2010). Pharmacologically active compounds in the environment and their chirality. </w:t>
      </w:r>
      <w:r w:rsidRPr="006D5FEA">
        <w:rPr>
          <w:rFonts w:ascii="Times New Roman" w:hAnsi="Times New Roman"/>
          <w:i/>
          <w:iCs/>
          <w:noProof/>
          <w:sz w:val="20"/>
          <w:szCs w:val="24"/>
          <w:lang w:val="en-US"/>
        </w:rPr>
        <w:t>Chemical Society Reviews</w:t>
      </w:r>
      <w:r w:rsidRPr="006D5FEA">
        <w:rPr>
          <w:rFonts w:ascii="Times New Roman" w:hAnsi="Times New Roman"/>
          <w:noProof/>
          <w:sz w:val="20"/>
          <w:szCs w:val="24"/>
          <w:lang w:val="en-US"/>
        </w:rPr>
        <w:t>. https://doi.org/10.1039/c000408c</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LIN, G.-Q.; YOU, Q.-D.; CHENG, J.-F. (2011). </w:t>
      </w:r>
      <w:r w:rsidRPr="006D5FEA">
        <w:rPr>
          <w:rFonts w:ascii="Times New Roman" w:hAnsi="Times New Roman"/>
          <w:i/>
          <w:iCs/>
          <w:noProof/>
          <w:sz w:val="20"/>
          <w:szCs w:val="24"/>
          <w:lang w:val="en-US"/>
        </w:rPr>
        <w:t>Chiral Drugs: Chemistry and Biological Action</w:t>
      </w:r>
      <w:r w:rsidRPr="006D5FEA">
        <w:rPr>
          <w:rFonts w:ascii="Times New Roman" w:hAnsi="Times New Roman"/>
          <w:noProof/>
          <w:sz w:val="20"/>
          <w:szCs w:val="24"/>
          <w:lang w:val="en-US"/>
        </w:rPr>
        <w:t>. (J.-F. LIN, G.-Q.; YOU, Q.-D.; CHENG, Ed.) (1</w:t>
      </w:r>
      <w:r w:rsidRPr="006D5FEA">
        <w:rPr>
          <w:rFonts w:ascii="Times New Roman" w:hAnsi="Times New Roman"/>
          <w:noProof/>
          <w:sz w:val="20"/>
          <w:szCs w:val="24"/>
          <w:vertAlign w:val="superscript"/>
          <w:lang w:val="en-US"/>
        </w:rPr>
        <w:t>a</w:t>
      </w:r>
      <w:r w:rsidRPr="006D5FEA">
        <w:rPr>
          <w:rFonts w:ascii="Times New Roman" w:hAnsi="Times New Roman"/>
          <w:noProof/>
          <w:sz w:val="20"/>
          <w:szCs w:val="24"/>
          <w:lang w:val="en-US"/>
        </w:rPr>
        <w:t>). New Jersey: John Wiley &amp; Sons.</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LOHRAY B.B. (2001). Asymmetric catalysis – A novel chemistry to win the Nobel Prize. </w:t>
      </w:r>
      <w:r w:rsidRPr="006D5FEA">
        <w:rPr>
          <w:rFonts w:ascii="Times New Roman" w:hAnsi="Times New Roman"/>
          <w:i/>
          <w:iCs/>
          <w:noProof/>
          <w:sz w:val="20"/>
          <w:szCs w:val="24"/>
          <w:lang w:val="en-US"/>
        </w:rPr>
        <w:t>Current Science</w:t>
      </w:r>
      <w:r w:rsidRPr="006D5FEA">
        <w:rPr>
          <w:rFonts w:ascii="Times New Roman" w:hAnsi="Times New Roman"/>
          <w:noProof/>
          <w:sz w:val="20"/>
          <w:szCs w:val="24"/>
          <w:lang w:val="en-US"/>
        </w:rPr>
        <w:t xml:space="preserve">, </w:t>
      </w:r>
      <w:r w:rsidRPr="006D5FEA">
        <w:rPr>
          <w:rFonts w:ascii="Times New Roman" w:hAnsi="Times New Roman"/>
          <w:i/>
          <w:iCs/>
          <w:noProof/>
          <w:sz w:val="20"/>
          <w:szCs w:val="24"/>
          <w:lang w:val="en-US"/>
        </w:rPr>
        <w:t>81</w:t>
      </w:r>
      <w:r w:rsidRPr="006D5FEA">
        <w:rPr>
          <w:rFonts w:ascii="Times New Roman" w:hAnsi="Times New Roman"/>
          <w:noProof/>
          <w:sz w:val="20"/>
          <w:szCs w:val="24"/>
          <w:lang w:val="en-US"/>
        </w:rPr>
        <w:t>(12), 1519–1525.</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MANNSCHRECK A.; KIESSWETTER R. (2007). Unequal Activities of Enantiomers via Biological Receptors: Examples of Chiral Drug, Pesticide, and Fragrance Molecules. </w:t>
      </w:r>
      <w:r w:rsidRPr="006D5FEA">
        <w:rPr>
          <w:rFonts w:ascii="Times New Roman" w:hAnsi="Times New Roman"/>
          <w:i/>
          <w:iCs/>
          <w:noProof/>
          <w:sz w:val="20"/>
          <w:szCs w:val="24"/>
          <w:lang w:val="en-US"/>
        </w:rPr>
        <w:t>Journal of Chemical Education</w:t>
      </w:r>
      <w:r w:rsidRPr="006D5FEA">
        <w:rPr>
          <w:rFonts w:ascii="Times New Roman" w:hAnsi="Times New Roman"/>
          <w:noProof/>
          <w:sz w:val="20"/>
          <w:szCs w:val="24"/>
          <w:lang w:val="en-US"/>
        </w:rPr>
        <w:t xml:space="preserve">, </w:t>
      </w:r>
      <w:r w:rsidRPr="006D5FEA">
        <w:rPr>
          <w:rFonts w:ascii="Times New Roman" w:hAnsi="Times New Roman"/>
          <w:i/>
          <w:iCs/>
          <w:noProof/>
          <w:sz w:val="20"/>
          <w:szCs w:val="24"/>
          <w:lang w:val="en-US"/>
        </w:rPr>
        <w:t>84</w:t>
      </w:r>
      <w:r w:rsidRPr="006D5FEA">
        <w:rPr>
          <w:rFonts w:ascii="Times New Roman" w:hAnsi="Times New Roman"/>
          <w:noProof/>
          <w:sz w:val="20"/>
          <w:szCs w:val="24"/>
          <w:lang w:val="en-US"/>
        </w:rPr>
        <w:t>(12), 2012–2018.</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MUÑOZ SOLANO, D., HOYOS, P., HERNÁIZ, M. J., ALCÁNTARA, A. R., &amp; SÁNCHEZ-MONTERO, J. M. (2012). Industrial biotransformations in the synthesis of building blocks leading to enantiopure drugs. </w:t>
      </w:r>
      <w:r w:rsidRPr="006D5FEA">
        <w:rPr>
          <w:rFonts w:ascii="Times New Roman" w:hAnsi="Times New Roman"/>
          <w:i/>
          <w:iCs/>
          <w:noProof/>
          <w:sz w:val="20"/>
          <w:szCs w:val="24"/>
          <w:lang w:val="en-US"/>
        </w:rPr>
        <w:t>Bioresource Technology</w:t>
      </w:r>
      <w:r w:rsidRPr="006D5FEA">
        <w:rPr>
          <w:rFonts w:ascii="Times New Roman" w:hAnsi="Times New Roman"/>
          <w:noProof/>
          <w:sz w:val="20"/>
          <w:szCs w:val="24"/>
          <w:lang w:val="en-US"/>
        </w:rPr>
        <w:t>. https://doi.org/10.1016/j.biortech.2011.11.131</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MURAKAMI, H. (2006). From racemates to single enantiomers - Chiral synthetic drugs over the last 20 years. </w:t>
      </w:r>
      <w:r w:rsidRPr="006D5FEA">
        <w:rPr>
          <w:rFonts w:ascii="Times New Roman" w:hAnsi="Times New Roman"/>
          <w:i/>
          <w:iCs/>
          <w:noProof/>
          <w:sz w:val="20"/>
          <w:szCs w:val="24"/>
          <w:lang w:val="en-US"/>
        </w:rPr>
        <w:t>Topics in Current Chemistry</w:t>
      </w:r>
      <w:r w:rsidRPr="006D5FEA">
        <w:rPr>
          <w:rFonts w:ascii="Times New Roman" w:hAnsi="Times New Roman"/>
          <w:noProof/>
          <w:sz w:val="20"/>
          <w:szCs w:val="24"/>
          <w:lang w:val="en-US"/>
        </w:rPr>
        <w:t xml:space="preserve">, </w:t>
      </w:r>
      <w:r w:rsidRPr="006D5FEA">
        <w:rPr>
          <w:rFonts w:ascii="Times New Roman" w:hAnsi="Times New Roman"/>
          <w:i/>
          <w:iCs/>
          <w:noProof/>
          <w:sz w:val="20"/>
          <w:szCs w:val="24"/>
          <w:lang w:val="en-US"/>
        </w:rPr>
        <w:t>269</w:t>
      </w:r>
      <w:r w:rsidRPr="006D5FEA">
        <w:rPr>
          <w:rFonts w:ascii="Times New Roman" w:hAnsi="Times New Roman"/>
          <w:noProof/>
          <w:sz w:val="20"/>
          <w:szCs w:val="24"/>
          <w:lang w:val="en-US"/>
        </w:rPr>
        <w:t>(November 2006), 273–299. https://doi.org/10.1007/128_2006_072</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NGUYEN L. A.; HE H.; PHAM-HUY C. (2006). Chiral Drugs: An Overview. </w:t>
      </w:r>
      <w:r w:rsidRPr="006D5FEA">
        <w:rPr>
          <w:rFonts w:ascii="Times New Roman" w:hAnsi="Times New Roman"/>
          <w:i/>
          <w:iCs/>
          <w:noProof/>
          <w:sz w:val="20"/>
          <w:szCs w:val="24"/>
          <w:lang w:val="en-US"/>
        </w:rPr>
        <w:t>International Journal of Biomedical Science</w:t>
      </w:r>
      <w:r w:rsidRPr="006D5FEA">
        <w:rPr>
          <w:rFonts w:ascii="Times New Roman" w:hAnsi="Times New Roman"/>
          <w:noProof/>
          <w:sz w:val="20"/>
          <w:szCs w:val="24"/>
          <w:lang w:val="en-US"/>
        </w:rPr>
        <w:t xml:space="preserve">, </w:t>
      </w:r>
      <w:r w:rsidRPr="006D5FEA">
        <w:rPr>
          <w:rFonts w:ascii="Times New Roman" w:hAnsi="Times New Roman"/>
          <w:i/>
          <w:iCs/>
          <w:noProof/>
          <w:sz w:val="20"/>
          <w:szCs w:val="24"/>
          <w:lang w:val="en-US"/>
        </w:rPr>
        <w:t>2</w:t>
      </w:r>
      <w:r w:rsidRPr="006D5FEA">
        <w:rPr>
          <w:rFonts w:ascii="Times New Roman" w:hAnsi="Times New Roman"/>
          <w:noProof/>
          <w:sz w:val="20"/>
          <w:szCs w:val="24"/>
          <w:lang w:val="en-US"/>
        </w:rPr>
        <w:t>(2), 85–100.</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POLLARD, D. J., &amp; WOODLEY, J. M. (2007). Biocatalysis for pharmaceutical intermediates: the future is now. </w:t>
      </w:r>
      <w:r w:rsidRPr="006D5FEA">
        <w:rPr>
          <w:rFonts w:ascii="Times New Roman" w:hAnsi="Times New Roman"/>
          <w:i/>
          <w:iCs/>
          <w:noProof/>
          <w:sz w:val="20"/>
          <w:szCs w:val="24"/>
          <w:lang w:val="en-US"/>
        </w:rPr>
        <w:t>Trends in Biotechnology</w:t>
      </w:r>
      <w:r w:rsidRPr="006D5FEA">
        <w:rPr>
          <w:rFonts w:ascii="Times New Roman" w:hAnsi="Times New Roman"/>
          <w:noProof/>
          <w:sz w:val="20"/>
          <w:szCs w:val="24"/>
          <w:lang w:val="en-US"/>
        </w:rPr>
        <w:t xml:space="preserve">, </w:t>
      </w:r>
      <w:r w:rsidRPr="006D5FEA">
        <w:rPr>
          <w:rFonts w:ascii="Times New Roman" w:hAnsi="Times New Roman"/>
          <w:i/>
          <w:iCs/>
          <w:noProof/>
          <w:sz w:val="20"/>
          <w:szCs w:val="24"/>
          <w:lang w:val="en-US"/>
        </w:rPr>
        <w:t>25</w:t>
      </w:r>
      <w:r w:rsidRPr="006D5FEA">
        <w:rPr>
          <w:rFonts w:ascii="Times New Roman" w:hAnsi="Times New Roman"/>
          <w:noProof/>
          <w:sz w:val="20"/>
          <w:szCs w:val="24"/>
          <w:lang w:val="en-US"/>
        </w:rPr>
        <w:t>(2), 66–73. https://doi.org/10.1016/j.tibtech.2006.12.005</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SEKHON, B. S. (2010). Enantioseparation of chiral drugs - An overview. </w:t>
      </w:r>
      <w:r w:rsidRPr="006D5FEA">
        <w:rPr>
          <w:rFonts w:ascii="Times New Roman" w:hAnsi="Times New Roman"/>
          <w:i/>
          <w:iCs/>
          <w:noProof/>
          <w:sz w:val="20"/>
          <w:szCs w:val="24"/>
          <w:lang w:val="en-US"/>
        </w:rPr>
        <w:t>International Journal of PharmTech Research</w:t>
      </w:r>
      <w:r w:rsidRPr="006D5FEA">
        <w:rPr>
          <w:rFonts w:ascii="Times New Roman" w:hAnsi="Times New Roman"/>
          <w:noProof/>
          <w:sz w:val="20"/>
          <w:szCs w:val="24"/>
          <w:lang w:val="en-US"/>
        </w:rPr>
        <w:t>.</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SMITH, S. W. (2009). Chiral toxicology: It’s the same thing only different. </w:t>
      </w:r>
      <w:r w:rsidRPr="006D5FEA">
        <w:rPr>
          <w:rFonts w:ascii="Times New Roman" w:hAnsi="Times New Roman"/>
          <w:i/>
          <w:iCs/>
          <w:noProof/>
          <w:sz w:val="20"/>
          <w:szCs w:val="24"/>
          <w:lang w:val="en-US"/>
        </w:rPr>
        <w:t>Toxicological Sciences</w:t>
      </w:r>
      <w:r w:rsidRPr="006D5FEA">
        <w:rPr>
          <w:rFonts w:ascii="Times New Roman" w:hAnsi="Times New Roman"/>
          <w:noProof/>
          <w:sz w:val="20"/>
          <w:szCs w:val="24"/>
          <w:lang w:val="en-US"/>
        </w:rPr>
        <w:t xml:space="preserve">, </w:t>
      </w:r>
      <w:r w:rsidRPr="006D5FEA">
        <w:rPr>
          <w:rFonts w:ascii="Times New Roman" w:hAnsi="Times New Roman"/>
          <w:i/>
          <w:iCs/>
          <w:noProof/>
          <w:sz w:val="20"/>
          <w:szCs w:val="24"/>
          <w:lang w:val="en-US"/>
        </w:rPr>
        <w:t>110</w:t>
      </w:r>
      <w:r w:rsidRPr="006D5FEA">
        <w:rPr>
          <w:rFonts w:ascii="Times New Roman" w:hAnsi="Times New Roman"/>
          <w:noProof/>
          <w:sz w:val="20"/>
          <w:szCs w:val="24"/>
          <w:lang w:val="en-US"/>
        </w:rPr>
        <w:t>(1), 4–30. https://doi.org/10.1093/toxsci/kfp097</w:t>
      </w:r>
    </w:p>
    <w:p w:rsidR="006C540A" w:rsidRPr="006D5FEA" w:rsidRDefault="006C540A" w:rsidP="006C540A">
      <w:pPr>
        <w:widowControl w:val="0"/>
        <w:autoSpaceDE w:val="0"/>
        <w:autoSpaceDN w:val="0"/>
        <w:adjustRightInd w:val="0"/>
        <w:spacing w:before="120" w:after="0" w:line="240" w:lineRule="auto"/>
        <w:ind w:left="480" w:hanging="480"/>
        <w:rPr>
          <w:rFonts w:ascii="Times New Roman" w:hAnsi="Times New Roman"/>
          <w:noProof/>
          <w:sz w:val="20"/>
          <w:szCs w:val="24"/>
          <w:lang w:val="en-US"/>
        </w:rPr>
      </w:pPr>
      <w:r w:rsidRPr="006D5FEA">
        <w:rPr>
          <w:rFonts w:ascii="Times New Roman" w:hAnsi="Times New Roman"/>
          <w:noProof/>
          <w:sz w:val="20"/>
          <w:szCs w:val="24"/>
          <w:lang w:val="en-US"/>
        </w:rPr>
        <w:t xml:space="preserve">TRIGGLE D. J. (1997). Stereoselectivity of drug action. </w:t>
      </w:r>
      <w:r w:rsidRPr="006D5FEA">
        <w:rPr>
          <w:rFonts w:ascii="Times New Roman" w:hAnsi="Times New Roman"/>
          <w:i/>
          <w:iCs/>
          <w:noProof/>
          <w:sz w:val="20"/>
          <w:szCs w:val="24"/>
          <w:lang w:val="en-US"/>
        </w:rPr>
        <w:t>Drug Discovery Today</w:t>
      </w:r>
      <w:r w:rsidRPr="006D5FEA">
        <w:rPr>
          <w:rFonts w:ascii="Times New Roman" w:hAnsi="Times New Roman"/>
          <w:noProof/>
          <w:sz w:val="20"/>
          <w:szCs w:val="24"/>
          <w:lang w:val="en-US"/>
        </w:rPr>
        <w:t xml:space="preserve">, </w:t>
      </w:r>
      <w:r w:rsidRPr="006D5FEA">
        <w:rPr>
          <w:rFonts w:ascii="Times New Roman" w:hAnsi="Times New Roman"/>
          <w:i/>
          <w:iCs/>
          <w:noProof/>
          <w:sz w:val="20"/>
          <w:szCs w:val="24"/>
          <w:lang w:val="en-US"/>
        </w:rPr>
        <w:t>2</w:t>
      </w:r>
      <w:r w:rsidRPr="006D5FEA">
        <w:rPr>
          <w:rFonts w:ascii="Times New Roman" w:hAnsi="Times New Roman"/>
          <w:noProof/>
          <w:sz w:val="20"/>
          <w:szCs w:val="24"/>
          <w:lang w:val="en-US"/>
        </w:rPr>
        <w:t>(4), 138–147.</w:t>
      </w:r>
    </w:p>
    <w:p w:rsidR="006C540A" w:rsidRPr="006C540A" w:rsidRDefault="006C540A" w:rsidP="006C540A">
      <w:pPr>
        <w:widowControl w:val="0"/>
        <w:autoSpaceDE w:val="0"/>
        <w:autoSpaceDN w:val="0"/>
        <w:adjustRightInd w:val="0"/>
        <w:spacing w:before="120" w:after="0" w:line="240" w:lineRule="auto"/>
        <w:ind w:left="480" w:hanging="480"/>
        <w:rPr>
          <w:rFonts w:ascii="Times New Roman" w:hAnsi="Times New Roman"/>
          <w:noProof/>
          <w:sz w:val="20"/>
        </w:rPr>
      </w:pPr>
      <w:r w:rsidRPr="006D5FEA">
        <w:rPr>
          <w:rFonts w:ascii="Times New Roman" w:hAnsi="Times New Roman"/>
          <w:noProof/>
          <w:sz w:val="20"/>
          <w:szCs w:val="24"/>
          <w:lang w:val="en-US"/>
        </w:rPr>
        <w:t xml:space="preserve">VERMUË, M., SIKKEMSA, J., VERHEUL, A., BAKKER, R., &amp; TRAMPER, J. (1993). Toxicity of homologous series of organic solvents for the gram-positive bacteria Arthrobacter and Nocardia Sp. and the gram-negative bacteria Acinetobacter and Pseudomonas Sp. </w:t>
      </w:r>
      <w:r w:rsidRPr="006C540A">
        <w:rPr>
          <w:rFonts w:ascii="Times New Roman" w:hAnsi="Times New Roman"/>
          <w:i/>
          <w:iCs/>
          <w:noProof/>
          <w:sz w:val="20"/>
          <w:szCs w:val="24"/>
        </w:rPr>
        <w:t>Biotechnology and Bioengineering</w:t>
      </w:r>
      <w:r w:rsidRPr="006C540A">
        <w:rPr>
          <w:rFonts w:ascii="Times New Roman" w:hAnsi="Times New Roman"/>
          <w:noProof/>
          <w:sz w:val="20"/>
          <w:szCs w:val="24"/>
        </w:rPr>
        <w:t xml:space="preserve">, </w:t>
      </w:r>
      <w:r w:rsidRPr="006C540A">
        <w:rPr>
          <w:rFonts w:ascii="Times New Roman" w:hAnsi="Times New Roman"/>
          <w:i/>
          <w:iCs/>
          <w:noProof/>
          <w:sz w:val="20"/>
          <w:szCs w:val="24"/>
        </w:rPr>
        <w:t>42</w:t>
      </w:r>
      <w:r w:rsidRPr="006C540A">
        <w:rPr>
          <w:rFonts w:ascii="Times New Roman" w:hAnsi="Times New Roman"/>
          <w:noProof/>
          <w:sz w:val="20"/>
          <w:szCs w:val="24"/>
        </w:rPr>
        <w:t>, 747–758. https://doi.org/10.1002/bit.260420610</w:t>
      </w:r>
    </w:p>
    <w:p w:rsidR="00ED1FA1" w:rsidRDefault="004616DF" w:rsidP="006C540A">
      <w:pPr>
        <w:widowControl w:val="0"/>
        <w:autoSpaceDE w:val="0"/>
        <w:autoSpaceDN w:val="0"/>
        <w:adjustRightInd w:val="0"/>
        <w:spacing w:before="120" w:after="0" w:line="240" w:lineRule="auto"/>
        <w:ind w:left="480" w:hanging="480"/>
        <w:rPr>
          <w:rFonts w:ascii="Times New Roman" w:hAnsi="Times New Roman"/>
          <w:sz w:val="20"/>
          <w:szCs w:val="20"/>
          <w:lang w:val="en-US"/>
        </w:rPr>
      </w:pPr>
      <w:r w:rsidRPr="000446AE">
        <w:rPr>
          <w:rFonts w:ascii="Times New Roman" w:hAnsi="Times New Roman"/>
          <w:sz w:val="20"/>
          <w:szCs w:val="20"/>
          <w:lang w:val="en-US"/>
        </w:rPr>
        <w:fldChar w:fldCharType="end"/>
      </w:r>
    </w:p>
    <w:sectPr w:rsidR="00ED1FA1" w:rsidSect="007112D1">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F3" w:rsidRDefault="000D0BF3" w:rsidP="007B187D">
      <w:pPr>
        <w:spacing w:after="0" w:line="240" w:lineRule="auto"/>
      </w:pPr>
      <w:r>
        <w:separator/>
      </w:r>
    </w:p>
  </w:endnote>
  <w:endnote w:type="continuationSeparator" w:id="0">
    <w:p w:rsidR="000D0BF3" w:rsidRDefault="000D0BF3" w:rsidP="007B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F3" w:rsidRDefault="000D0BF3" w:rsidP="007B187D">
      <w:pPr>
        <w:spacing w:after="0" w:line="240" w:lineRule="auto"/>
      </w:pPr>
      <w:r>
        <w:separator/>
      </w:r>
    </w:p>
  </w:footnote>
  <w:footnote w:type="continuationSeparator" w:id="0">
    <w:p w:rsidR="000D0BF3" w:rsidRDefault="000D0BF3" w:rsidP="007B1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7F5"/>
    <w:multiLevelType w:val="hybridMultilevel"/>
    <w:tmpl w:val="B46E8600"/>
    <w:lvl w:ilvl="0" w:tplc="21066066">
      <w:start w:val="1"/>
      <w:numFmt w:val="decimal"/>
      <w:lvlText w:val="%1"/>
      <w:lvlJc w:val="left"/>
      <w:pPr>
        <w:ind w:left="2935" w:hanging="360"/>
      </w:pPr>
      <w:rPr>
        <w:rFonts w:cs="Times New Roman" w:hint="default"/>
      </w:rPr>
    </w:lvl>
    <w:lvl w:ilvl="1" w:tplc="04160019" w:tentative="1">
      <w:start w:val="1"/>
      <w:numFmt w:val="lowerLetter"/>
      <w:lvlText w:val="%2."/>
      <w:lvlJc w:val="left"/>
      <w:pPr>
        <w:ind w:left="3655" w:hanging="360"/>
      </w:pPr>
      <w:rPr>
        <w:rFonts w:cs="Times New Roman"/>
      </w:rPr>
    </w:lvl>
    <w:lvl w:ilvl="2" w:tplc="0416001B" w:tentative="1">
      <w:start w:val="1"/>
      <w:numFmt w:val="lowerRoman"/>
      <w:lvlText w:val="%3."/>
      <w:lvlJc w:val="right"/>
      <w:pPr>
        <w:ind w:left="4375" w:hanging="180"/>
      </w:pPr>
      <w:rPr>
        <w:rFonts w:cs="Times New Roman"/>
      </w:rPr>
    </w:lvl>
    <w:lvl w:ilvl="3" w:tplc="0416000F" w:tentative="1">
      <w:start w:val="1"/>
      <w:numFmt w:val="decimal"/>
      <w:lvlText w:val="%4."/>
      <w:lvlJc w:val="left"/>
      <w:pPr>
        <w:ind w:left="5095" w:hanging="360"/>
      </w:pPr>
      <w:rPr>
        <w:rFonts w:cs="Times New Roman"/>
      </w:rPr>
    </w:lvl>
    <w:lvl w:ilvl="4" w:tplc="04160019" w:tentative="1">
      <w:start w:val="1"/>
      <w:numFmt w:val="lowerLetter"/>
      <w:lvlText w:val="%5."/>
      <w:lvlJc w:val="left"/>
      <w:pPr>
        <w:ind w:left="5815" w:hanging="360"/>
      </w:pPr>
      <w:rPr>
        <w:rFonts w:cs="Times New Roman"/>
      </w:rPr>
    </w:lvl>
    <w:lvl w:ilvl="5" w:tplc="0416001B" w:tentative="1">
      <w:start w:val="1"/>
      <w:numFmt w:val="lowerRoman"/>
      <w:lvlText w:val="%6."/>
      <w:lvlJc w:val="right"/>
      <w:pPr>
        <w:ind w:left="6535" w:hanging="180"/>
      </w:pPr>
      <w:rPr>
        <w:rFonts w:cs="Times New Roman"/>
      </w:rPr>
    </w:lvl>
    <w:lvl w:ilvl="6" w:tplc="0416000F" w:tentative="1">
      <w:start w:val="1"/>
      <w:numFmt w:val="decimal"/>
      <w:lvlText w:val="%7."/>
      <w:lvlJc w:val="left"/>
      <w:pPr>
        <w:ind w:left="7255" w:hanging="360"/>
      </w:pPr>
      <w:rPr>
        <w:rFonts w:cs="Times New Roman"/>
      </w:rPr>
    </w:lvl>
    <w:lvl w:ilvl="7" w:tplc="04160019" w:tentative="1">
      <w:start w:val="1"/>
      <w:numFmt w:val="lowerLetter"/>
      <w:lvlText w:val="%8."/>
      <w:lvlJc w:val="left"/>
      <w:pPr>
        <w:ind w:left="7975" w:hanging="360"/>
      </w:pPr>
      <w:rPr>
        <w:rFonts w:cs="Times New Roman"/>
      </w:rPr>
    </w:lvl>
    <w:lvl w:ilvl="8" w:tplc="0416001B" w:tentative="1">
      <w:start w:val="1"/>
      <w:numFmt w:val="lowerRoman"/>
      <w:lvlText w:val="%9."/>
      <w:lvlJc w:val="right"/>
      <w:pPr>
        <w:ind w:left="8695" w:hanging="180"/>
      </w:pPr>
      <w:rPr>
        <w:rFonts w:cs="Times New Roman"/>
      </w:rPr>
    </w:lvl>
  </w:abstractNum>
  <w:abstractNum w:abstractNumId="1">
    <w:nsid w:val="15534BD5"/>
    <w:multiLevelType w:val="multilevel"/>
    <w:tmpl w:val="33FC9F94"/>
    <w:lvl w:ilvl="0">
      <w:start w:val="2"/>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9634A0C"/>
    <w:multiLevelType w:val="multilevel"/>
    <w:tmpl w:val="33FC9F94"/>
    <w:lvl w:ilvl="0">
      <w:start w:val="2"/>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67266CF"/>
    <w:multiLevelType w:val="hybridMultilevel"/>
    <w:tmpl w:val="B83C7F7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I3MTMwMDOzMDcyMzVX0lEKTi0uzszPAykwrAUAC/wkGSwAAAA="/>
  </w:docVars>
  <w:rsids>
    <w:rsidRoot w:val="003E1E09"/>
    <w:rsid w:val="00005647"/>
    <w:rsid w:val="00020A2E"/>
    <w:rsid w:val="00025EEA"/>
    <w:rsid w:val="00044239"/>
    <w:rsid w:val="000446AE"/>
    <w:rsid w:val="000529D6"/>
    <w:rsid w:val="000734AB"/>
    <w:rsid w:val="000737B5"/>
    <w:rsid w:val="0008049B"/>
    <w:rsid w:val="00087A41"/>
    <w:rsid w:val="00090779"/>
    <w:rsid w:val="000B34D1"/>
    <w:rsid w:val="000B5B4E"/>
    <w:rsid w:val="000C7A68"/>
    <w:rsid w:val="000D0BF3"/>
    <w:rsid w:val="000D2782"/>
    <w:rsid w:val="000D5758"/>
    <w:rsid w:val="000D6375"/>
    <w:rsid w:val="000E29EE"/>
    <w:rsid w:val="00100CEF"/>
    <w:rsid w:val="00104932"/>
    <w:rsid w:val="00111301"/>
    <w:rsid w:val="001150E8"/>
    <w:rsid w:val="0012480B"/>
    <w:rsid w:val="001271EE"/>
    <w:rsid w:val="00151745"/>
    <w:rsid w:val="0015345C"/>
    <w:rsid w:val="00155B05"/>
    <w:rsid w:val="001572E7"/>
    <w:rsid w:val="00160F88"/>
    <w:rsid w:val="0016213F"/>
    <w:rsid w:val="00173BD0"/>
    <w:rsid w:val="001759A8"/>
    <w:rsid w:val="00185FDE"/>
    <w:rsid w:val="0018714A"/>
    <w:rsid w:val="00187E7C"/>
    <w:rsid w:val="00190FC6"/>
    <w:rsid w:val="00196804"/>
    <w:rsid w:val="001A760C"/>
    <w:rsid w:val="001B5CB0"/>
    <w:rsid w:val="001D1739"/>
    <w:rsid w:val="001D2E70"/>
    <w:rsid w:val="001D7A72"/>
    <w:rsid w:val="001E3E6F"/>
    <w:rsid w:val="001E5CE4"/>
    <w:rsid w:val="001F4AD4"/>
    <w:rsid w:val="001F6EFE"/>
    <w:rsid w:val="00207ABE"/>
    <w:rsid w:val="002107BD"/>
    <w:rsid w:val="002158C9"/>
    <w:rsid w:val="00215C11"/>
    <w:rsid w:val="0022234B"/>
    <w:rsid w:val="00233414"/>
    <w:rsid w:val="00242734"/>
    <w:rsid w:val="00252838"/>
    <w:rsid w:val="00262BDA"/>
    <w:rsid w:val="00263694"/>
    <w:rsid w:val="00264BB4"/>
    <w:rsid w:val="002652D7"/>
    <w:rsid w:val="00267996"/>
    <w:rsid w:val="00277541"/>
    <w:rsid w:val="00277956"/>
    <w:rsid w:val="0029400E"/>
    <w:rsid w:val="002C0DCE"/>
    <w:rsid w:val="002D15E3"/>
    <w:rsid w:val="002D3FC4"/>
    <w:rsid w:val="002D6BA5"/>
    <w:rsid w:val="002E26BA"/>
    <w:rsid w:val="002E2F31"/>
    <w:rsid w:val="002F221A"/>
    <w:rsid w:val="00306E64"/>
    <w:rsid w:val="003168AA"/>
    <w:rsid w:val="003233A6"/>
    <w:rsid w:val="003347C4"/>
    <w:rsid w:val="003408D3"/>
    <w:rsid w:val="00350C28"/>
    <w:rsid w:val="0036336A"/>
    <w:rsid w:val="00367655"/>
    <w:rsid w:val="00377E61"/>
    <w:rsid w:val="0038218B"/>
    <w:rsid w:val="0038478F"/>
    <w:rsid w:val="00385547"/>
    <w:rsid w:val="003858D4"/>
    <w:rsid w:val="0039010A"/>
    <w:rsid w:val="00396349"/>
    <w:rsid w:val="003C354C"/>
    <w:rsid w:val="003C53F8"/>
    <w:rsid w:val="003D096A"/>
    <w:rsid w:val="003D199A"/>
    <w:rsid w:val="003E1E09"/>
    <w:rsid w:val="003E5F8A"/>
    <w:rsid w:val="003F2EF3"/>
    <w:rsid w:val="003F36C9"/>
    <w:rsid w:val="003F6B1B"/>
    <w:rsid w:val="0040215C"/>
    <w:rsid w:val="00403238"/>
    <w:rsid w:val="00405692"/>
    <w:rsid w:val="00406663"/>
    <w:rsid w:val="004107ED"/>
    <w:rsid w:val="00413580"/>
    <w:rsid w:val="004137FB"/>
    <w:rsid w:val="00417860"/>
    <w:rsid w:val="0042145D"/>
    <w:rsid w:val="00443A46"/>
    <w:rsid w:val="004616DF"/>
    <w:rsid w:val="00461C37"/>
    <w:rsid w:val="00462144"/>
    <w:rsid w:val="00463301"/>
    <w:rsid w:val="004907B7"/>
    <w:rsid w:val="004942D5"/>
    <w:rsid w:val="004A0AC6"/>
    <w:rsid w:val="004A71C0"/>
    <w:rsid w:val="004B26BB"/>
    <w:rsid w:val="004C265C"/>
    <w:rsid w:val="004C2B82"/>
    <w:rsid w:val="004C769B"/>
    <w:rsid w:val="004F29C8"/>
    <w:rsid w:val="005143AD"/>
    <w:rsid w:val="00515AF4"/>
    <w:rsid w:val="005161A4"/>
    <w:rsid w:val="00517E32"/>
    <w:rsid w:val="005255BB"/>
    <w:rsid w:val="005276C9"/>
    <w:rsid w:val="005302A9"/>
    <w:rsid w:val="0053100C"/>
    <w:rsid w:val="00531380"/>
    <w:rsid w:val="00532C51"/>
    <w:rsid w:val="00532EFC"/>
    <w:rsid w:val="00534887"/>
    <w:rsid w:val="00537C68"/>
    <w:rsid w:val="0054769D"/>
    <w:rsid w:val="00550C3C"/>
    <w:rsid w:val="005550C4"/>
    <w:rsid w:val="005563B3"/>
    <w:rsid w:val="005573DD"/>
    <w:rsid w:val="00562E8B"/>
    <w:rsid w:val="005733CD"/>
    <w:rsid w:val="005740C7"/>
    <w:rsid w:val="0058028F"/>
    <w:rsid w:val="00590956"/>
    <w:rsid w:val="0059259E"/>
    <w:rsid w:val="00594CB2"/>
    <w:rsid w:val="0059773B"/>
    <w:rsid w:val="005A3144"/>
    <w:rsid w:val="005A7CE5"/>
    <w:rsid w:val="005A7D3A"/>
    <w:rsid w:val="005B3AFF"/>
    <w:rsid w:val="005B7224"/>
    <w:rsid w:val="005D0427"/>
    <w:rsid w:val="005D13FE"/>
    <w:rsid w:val="005D304D"/>
    <w:rsid w:val="005E2544"/>
    <w:rsid w:val="005E4A33"/>
    <w:rsid w:val="005E651A"/>
    <w:rsid w:val="00607B4E"/>
    <w:rsid w:val="00630396"/>
    <w:rsid w:val="00647218"/>
    <w:rsid w:val="00650066"/>
    <w:rsid w:val="0065052F"/>
    <w:rsid w:val="00653B7A"/>
    <w:rsid w:val="00660808"/>
    <w:rsid w:val="0067161B"/>
    <w:rsid w:val="00682A83"/>
    <w:rsid w:val="00687F57"/>
    <w:rsid w:val="00691928"/>
    <w:rsid w:val="00692AB4"/>
    <w:rsid w:val="006A2D39"/>
    <w:rsid w:val="006A6D68"/>
    <w:rsid w:val="006B0524"/>
    <w:rsid w:val="006C01D5"/>
    <w:rsid w:val="006C1D93"/>
    <w:rsid w:val="006C540A"/>
    <w:rsid w:val="006C7947"/>
    <w:rsid w:val="006D0921"/>
    <w:rsid w:val="006D297B"/>
    <w:rsid w:val="006D5FEA"/>
    <w:rsid w:val="006D68EC"/>
    <w:rsid w:val="006E093D"/>
    <w:rsid w:val="006E6A9C"/>
    <w:rsid w:val="006F108B"/>
    <w:rsid w:val="006F233A"/>
    <w:rsid w:val="007053CB"/>
    <w:rsid w:val="007112D1"/>
    <w:rsid w:val="00711793"/>
    <w:rsid w:val="007141AB"/>
    <w:rsid w:val="0072621D"/>
    <w:rsid w:val="00726C58"/>
    <w:rsid w:val="0073124B"/>
    <w:rsid w:val="00731FD0"/>
    <w:rsid w:val="00735541"/>
    <w:rsid w:val="0073774A"/>
    <w:rsid w:val="00741099"/>
    <w:rsid w:val="00756165"/>
    <w:rsid w:val="00760E72"/>
    <w:rsid w:val="0077627B"/>
    <w:rsid w:val="00785C36"/>
    <w:rsid w:val="00785FEB"/>
    <w:rsid w:val="007A53D2"/>
    <w:rsid w:val="007B187D"/>
    <w:rsid w:val="007B1ED9"/>
    <w:rsid w:val="007B4A55"/>
    <w:rsid w:val="007C153C"/>
    <w:rsid w:val="007D3B0D"/>
    <w:rsid w:val="007E14E4"/>
    <w:rsid w:val="007F1BB0"/>
    <w:rsid w:val="007F492C"/>
    <w:rsid w:val="007F6C14"/>
    <w:rsid w:val="008053D3"/>
    <w:rsid w:val="00806D6B"/>
    <w:rsid w:val="00810384"/>
    <w:rsid w:val="00810C36"/>
    <w:rsid w:val="00814C62"/>
    <w:rsid w:val="00815CD4"/>
    <w:rsid w:val="008175B7"/>
    <w:rsid w:val="00822665"/>
    <w:rsid w:val="00830DF3"/>
    <w:rsid w:val="00830FCC"/>
    <w:rsid w:val="00850C73"/>
    <w:rsid w:val="00857168"/>
    <w:rsid w:val="00857AB3"/>
    <w:rsid w:val="00864330"/>
    <w:rsid w:val="00890C38"/>
    <w:rsid w:val="00890F67"/>
    <w:rsid w:val="00891132"/>
    <w:rsid w:val="00895B8E"/>
    <w:rsid w:val="008A2795"/>
    <w:rsid w:val="008C049C"/>
    <w:rsid w:val="008C4B5B"/>
    <w:rsid w:val="008C739D"/>
    <w:rsid w:val="008D3AC1"/>
    <w:rsid w:val="008F542C"/>
    <w:rsid w:val="008F58F4"/>
    <w:rsid w:val="0090047A"/>
    <w:rsid w:val="00901EE8"/>
    <w:rsid w:val="0090387E"/>
    <w:rsid w:val="00904705"/>
    <w:rsid w:val="00906352"/>
    <w:rsid w:val="00907EE7"/>
    <w:rsid w:val="009112EB"/>
    <w:rsid w:val="00926F11"/>
    <w:rsid w:val="00931585"/>
    <w:rsid w:val="0094551F"/>
    <w:rsid w:val="00951301"/>
    <w:rsid w:val="00953C27"/>
    <w:rsid w:val="0096748F"/>
    <w:rsid w:val="00984A17"/>
    <w:rsid w:val="0099397E"/>
    <w:rsid w:val="009A75A7"/>
    <w:rsid w:val="009B3693"/>
    <w:rsid w:val="009D22E4"/>
    <w:rsid w:val="009D3C5A"/>
    <w:rsid w:val="009E2C4A"/>
    <w:rsid w:val="009E330F"/>
    <w:rsid w:val="009F2BC9"/>
    <w:rsid w:val="009F3F59"/>
    <w:rsid w:val="00A067CC"/>
    <w:rsid w:val="00A10768"/>
    <w:rsid w:val="00A11B2E"/>
    <w:rsid w:val="00A120B5"/>
    <w:rsid w:val="00A129A4"/>
    <w:rsid w:val="00A15A01"/>
    <w:rsid w:val="00A1740F"/>
    <w:rsid w:val="00A200F5"/>
    <w:rsid w:val="00A20FEC"/>
    <w:rsid w:val="00A24BB8"/>
    <w:rsid w:val="00A24E40"/>
    <w:rsid w:val="00A24F87"/>
    <w:rsid w:val="00A41F19"/>
    <w:rsid w:val="00A66BD7"/>
    <w:rsid w:val="00A7022E"/>
    <w:rsid w:val="00A702BF"/>
    <w:rsid w:val="00A77CBE"/>
    <w:rsid w:val="00A94142"/>
    <w:rsid w:val="00A9642B"/>
    <w:rsid w:val="00AA1EB6"/>
    <w:rsid w:val="00AA24DB"/>
    <w:rsid w:val="00AA3B89"/>
    <w:rsid w:val="00AA5399"/>
    <w:rsid w:val="00AA7B59"/>
    <w:rsid w:val="00AB4A77"/>
    <w:rsid w:val="00AC7F45"/>
    <w:rsid w:val="00AD4197"/>
    <w:rsid w:val="00AE05BD"/>
    <w:rsid w:val="00AE3C06"/>
    <w:rsid w:val="00AE7F1B"/>
    <w:rsid w:val="00AF0AA9"/>
    <w:rsid w:val="00AF3E59"/>
    <w:rsid w:val="00AF7726"/>
    <w:rsid w:val="00AF7E9C"/>
    <w:rsid w:val="00B109E5"/>
    <w:rsid w:val="00B13ED6"/>
    <w:rsid w:val="00B26D41"/>
    <w:rsid w:val="00B330A2"/>
    <w:rsid w:val="00B37CAA"/>
    <w:rsid w:val="00B509F6"/>
    <w:rsid w:val="00B50F0E"/>
    <w:rsid w:val="00B57EC5"/>
    <w:rsid w:val="00B607BE"/>
    <w:rsid w:val="00B60A9F"/>
    <w:rsid w:val="00B617AE"/>
    <w:rsid w:val="00B73AC8"/>
    <w:rsid w:val="00B7577C"/>
    <w:rsid w:val="00B8137F"/>
    <w:rsid w:val="00B82C2D"/>
    <w:rsid w:val="00B855E4"/>
    <w:rsid w:val="00B902E8"/>
    <w:rsid w:val="00BA019F"/>
    <w:rsid w:val="00BA0242"/>
    <w:rsid w:val="00BA14CE"/>
    <w:rsid w:val="00BA2D1C"/>
    <w:rsid w:val="00BC1B71"/>
    <w:rsid w:val="00BC20D5"/>
    <w:rsid w:val="00BC29DE"/>
    <w:rsid w:val="00BD5952"/>
    <w:rsid w:val="00BE34D2"/>
    <w:rsid w:val="00BE5E9B"/>
    <w:rsid w:val="00BE6D4A"/>
    <w:rsid w:val="00BF5823"/>
    <w:rsid w:val="00BF63D2"/>
    <w:rsid w:val="00BF6FF5"/>
    <w:rsid w:val="00C04338"/>
    <w:rsid w:val="00C04361"/>
    <w:rsid w:val="00C06070"/>
    <w:rsid w:val="00C06FAF"/>
    <w:rsid w:val="00C077B5"/>
    <w:rsid w:val="00C20C32"/>
    <w:rsid w:val="00C23777"/>
    <w:rsid w:val="00C25E92"/>
    <w:rsid w:val="00C40346"/>
    <w:rsid w:val="00C43B34"/>
    <w:rsid w:val="00C452FF"/>
    <w:rsid w:val="00C4594D"/>
    <w:rsid w:val="00C503B5"/>
    <w:rsid w:val="00C53023"/>
    <w:rsid w:val="00C53696"/>
    <w:rsid w:val="00C61995"/>
    <w:rsid w:val="00C71C1B"/>
    <w:rsid w:val="00C72E2D"/>
    <w:rsid w:val="00C76A68"/>
    <w:rsid w:val="00C90FC0"/>
    <w:rsid w:val="00C94DA2"/>
    <w:rsid w:val="00C96147"/>
    <w:rsid w:val="00CA3551"/>
    <w:rsid w:val="00CB45FC"/>
    <w:rsid w:val="00CD519E"/>
    <w:rsid w:val="00CE58C7"/>
    <w:rsid w:val="00CE6613"/>
    <w:rsid w:val="00CF1BF1"/>
    <w:rsid w:val="00CF38DC"/>
    <w:rsid w:val="00CF48B1"/>
    <w:rsid w:val="00CF4A9F"/>
    <w:rsid w:val="00D02453"/>
    <w:rsid w:val="00D10F51"/>
    <w:rsid w:val="00D129DA"/>
    <w:rsid w:val="00D15773"/>
    <w:rsid w:val="00D3037F"/>
    <w:rsid w:val="00D53D3E"/>
    <w:rsid w:val="00D60ED1"/>
    <w:rsid w:val="00D63F59"/>
    <w:rsid w:val="00D64A55"/>
    <w:rsid w:val="00D75241"/>
    <w:rsid w:val="00D817F5"/>
    <w:rsid w:val="00D83D3D"/>
    <w:rsid w:val="00D929AF"/>
    <w:rsid w:val="00DB2662"/>
    <w:rsid w:val="00DB3998"/>
    <w:rsid w:val="00DB7C02"/>
    <w:rsid w:val="00DE29B5"/>
    <w:rsid w:val="00DE7457"/>
    <w:rsid w:val="00DF3DA7"/>
    <w:rsid w:val="00DF5929"/>
    <w:rsid w:val="00E00E20"/>
    <w:rsid w:val="00E1277B"/>
    <w:rsid w:val="00E134DB"/>
    <w:rsid w:val="00E151D5"/>
    <w:rsid w:val="00E273C9"/>
    <w:rsid w:val="00E377C9"/>
    <w:rsid w:val="00E43F40"/>
    <w:rsid w:val="00E4443A"/>
    <w:rsid w:val="00E63997"/>
    <w:rsid w:val="00E661F4"/>
    <w:rsid w:val="00E7111F"/>
    <w:rsid w:val="00E72E46"/>
    <w:rsid w:val="00E81FBA"/>
    <w:rsid w:val="00E84368"/>
    <w:rsid w:val="00E90FAD"/>
    <w:rsid w:val="00E9516D"/>
    <w:rsid w:val="00E95823"/>
    <w:rsid w:val="00EA06BB"/>
    <w:rsid w:val="00EA5224"/>
    <w:rsid w:val="00ED1E79"/>
    <w:rsid w:val="00ED1FA1"/>
    <w:rsid w:val="00ED2460"/>
    <w:rsid w:val="00ED3F69"/>
    <w:rsid w:val="00ED710F"/>
    <w:rsid w:val="00EE01DC"/>
    <w:rsid w:val="00EE3A17"/>
    <w:rsid w:val="00EE66ED"/>
    <w:rsid w:val="00EF08F6"/>
    <w:rsid w:val="00F00181"/>
    <w:rsid w:val="00F001A9"/>
    <w:rsid w:val="00F011AB"/>
    <w:rsid w:val="00F02288"/>
    <w:rsid w:val="00F1324B"/>
    <w:rsid w:val="00F1390A"/>
    <w:rsid w:val="00F228E5"/>
    <w:rsid w:val="00F2627A"/>
    <w:rsid w:val="00F2790E"/>
    <w:rsid w:val="00F32C0F"/>
    <w:rsid w:val="00F54093"/>
    <w:rsid w:val="00F563B7"/>
    <w:rsid w:val="00F57AC1"/>
    <w:rsid w:val="00F57C18"/>
    <w:rsid w:val="00F67C15"/>
    <w:rsid w:val="00F702BB"/>
    <w:rsid w:val="00F72ECD"/>
    <w:rsid w:val="00F77794"/>
    <w:rsid w:val="00F80633"/>
    <w:rsid w:val="00F964AC"/>
    <w:rsid w:val="00F96D8F"/>
    <w:rsid w:val="00FA009C"/>
    <w:rsid w:val="00FA1B26"/>
    <w:rsid w:val="00FA42B4"/>
    <w:rsid w:val="00FA52EA"/>
    <w:rsid w:val="00FC0386"/>
    <w:rsid w:val="00FC0432"/>
    <w:rsid w:val="00FC4B0B"/>
    <w:rsid w:val="00FC59AD"/>
    <w:rsid w:val="00FC6156"/>
    <w:rsid w:val="00FD5173"/>
    <w:rsid w:val="00FD75B2"/>
    <w:rsid w:val="00FF76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9F6"/>
    <w:pPr>
      <w:spacing w:after="200" w:line="276" w:lineRule="auto"/>
    </w:pPr>
    <w:rPr>
      <w:rFonts w:eastAsia="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SombreamentoClaro1">
    <w:name w:val="Sombreamento Claro1"/>
    <w:rsid w:val="00D60ED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nfase11">
    <w:name w:val="Sombreamento Claro - Ênfase 11"/>
    <w:rsid w:val="00D60ED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elacomgrade">
    <w:name w:val="Table Grid"/>
    <w:basedOn w:val="Tabelanormal"/>
    <w:locked/>
    <w:rsid w:val="00D60E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adeMdia11">
    <w:name w:val="Grade Média 11"/>
    <w:rsid w:val="00D60ED1"/>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character" w:customStyle="1" w:styleId="hps">
    <w:name w:val="hps"/>
    <w:rsid w:val="00D929AF"/>
  </w:style>
  <w:style w:type="character" w:customStyle="1" w:styleId="hpsatn">
    <w:name w:val="hps atn"/>
    <w:rsid w:val="00D929AF"/>
  </w:style>
  <w:style w:type="character" w:customStyle="1" w:styleId="apple-converted-space">
    <w:name w:val="apple-converted-space"/>
    <w:rsid w:val="00AF0AA9"/>
  </w:style>
  <w:style w:type="paragraph" w:styleId="Cabealho">
    <w:name w:val="header"/>
    <w:basedOn w:val="Normal"/>
    <w:link w:val="CabealhoChar"/>
    <w:uiPriority w:val="99"/>
    <w:rsid w:val="003233A6"/>
    <w:pPr>
      <w:tabs>
        <w:tab w:val="center" w:pos="4252"/>
        <w:tab w:val="right" w:pos="8504"/>
      </w:tabs>
    </w:pPr>
  </w:style>
  <w:style w:type="character" w:customStyle="1" w:styleId="CabealhoChar">
    <w:name w:val="Cabeçalho Char"/>
    <w:link w:val="Cabealho"/>
    <w:uiPriority w:val="99"/>
    <w:rsid w:val="003233A6"/>
    <w:rPr>
      <w:rFonts w:eastAsia="Times New Roman"/>
      <w:sz w:val="22"/>
      <w:szCs w:val="22"/>
      <w:lang w:eastAsia="en-US"/>
    </w:rPr>
  </w:style>
  <w:style w:type="paragraph" w:customStyle="1" w:styleId="Default">
    <w:name w:val="Default"/>
    <w:rsid w:val="002652D7"/>
    <w:pPr>
      <w:autoSpaceDE w:val="0"/>
      <w:autoSpaceDN w:val="0"/>
      <w:adjustRightInd w:val="0"/>
    </w:pPr>
    <w:rPr>
      <w:rFonts w:ascii="Times New Roman" w:hAnsi="Times New Roman"/>
      <w:color w:val="000000"/>
      <w:sz w:val="24"/>
      <w:szCs w:val="24"/>
    </w:rPr>
  </w:style>
  <w:style w:type="paragraph" w:styleId="Legenda">
    <w:name w:val="caption"/>
    <w:basedOn w:val="Normal"/>
    <w:next w:val="Normal"/>
    <w:unhideWhenUsed/>
    <w:qFormat/>
    <w:locked/>
    <w:rsid w:val="001D7A72"/>
    <w:rPr>
      <w:b/>
      <w:bCs/>
      <w:sz w:val="20"/>
      <w:szCs w:val="20"/>
    </w:rPr>
  </w:style>
  <w:style w:type="paragraph" w:styleId="Textodenotaderodap">
    <w:name w:val="footnote text"/>
    <w:basedOn w:val="Normal"/>
    <w:link w:val="TextodenotaderodapChar"/>
    <w:rsid w:val="00104932"/>
    <w:pPr>
      <w:tabs>
        <w:tab w:val="left" w:pos="708"/>
      </w:tabs>
      <w:suppressAutoHyphens/>
      <w:spacing w:after="0" w:line="100" w:lineRule="atLeast"/>
    </w:pPr>
    <w:rPr>
      <w:rFonts w:ascii="Times New Roman" w:hAnsi="Times New Roman"/>
      <w:sz w:val="20"/>
      <w:szCs w:val="20"/>
    </w:rPr>
  </w:style>
  <w:style w:type="character" w:customStyle="1" w:styleId="TextodenotaderodapChar">
    <w:name w:val="Texto de nota de rodapé Char"/>
    <w:link w:val="Textodenotaderodap"/>
    <w:rsid w:val="00104932"/>
    <w:rPr>
      <w:rFonts w:ascii="Times New Roman" w:eastAsia="Times New Roman" w:hAnsi="Times New Roman"/>
    </w:rPr>
  </w:style>
  <w:style w:type="paragraph" w:styleId="Textodebalo">
    <w:name w:val="Balloon Text"/>
    <w:basedOn w:val="Normal"/>
    <w:link w:val="TextodebaloChar"/>
    <w:rsid w:val="00BF6F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BF6FF5"/>
    <w:rPr>
      <w:rFonts w:ascii="Tahoma" w:eastAsia="Times New Roman" w:hAnsi="Tahoma" w:cs="Tahoma"/>
      <w:sz w:val="16"/>
      <w:szCs w:val="16"/>
      <w:lang w:eastAsia="en-US"/>
    </w:rPr>
  </w:style>
  <w:style w:type="paragraph" w:styleId="Rodap">
    <w:name w:val="footer"/>
    <w:basedOn w:val="Normal"/>
    <w:link w:val="RodapChar"/>
    <w:rsid w:val="007B187D"/>
    <w:pPr>
      <w:tabs>
        <w:tab w:val="center" w:pos="4252"/>
        <w:tab w:val="right" w:pos="8504"/>
      </w:tabs>
      <w:spacing w:after="0" w:line="240" w:lineRule="auto"/>
    </w:pPr>
  </w:style>
  <w:style w:type="character" w:customStyle="1" w:styleId="RodapChar">
    <w:name w:val="Rodapé Char"/>
    <w:basedOn w:val="Fontepargpadro"/>
    <w:link w:val="Rodap"/>
    <w:rsid w:val="007B187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54196991">
      <w:bodyDiv w:val="1"/>
      <w:marLeft w:val="0"/>
      <w:marRight w:val="0"/>
      <w:marTop w:val="0"/>
      <w:marBottom w:val="0"/>
      <w:divBdr>
        <w:top w:val="none" w:sz="0" w:space="0" w:color="auto"/>
        <w:left w:val="none" w:sz="0" w:space="0" w:color="auto"/>
        <w:bottom w:val="none" w:sz="0" w:space="0" w:color="auto"/>
        <w:right w:val="none" w:sz="0" w:space="0" w:color="auto"/>
      </w:divBdr>
    </w:div>
    <w:div w:id="1115637113">
      <w:bodyDiv w:val="1"/>
      <w:marLeft w:val="0"/>
      <w:marRight w:val="0"/>
      <w:marTop w:val="0"/>
      <w:marBottom w:val="0"/>
      <w:divBdr>
        <w:top w:val="none" w:sz="0" w:space="0" w:color="auto"/>
        <w:left w:val="none" w:sz="0" w:space="0" w:color="auto"/>
        <w:bottom w:val="none" w:sz="0" w:space="0" w:color="auto"/>
        <w:right w:val="none" w:sz="0" w:space="0" w:color="auto"/>
      </w:divBdr>
    </w:div>
    <w:div w:id="1454666746">
      <w:bodyDiv w:val="1"/>
      <w:marLeft w:val="0"/>
      <w:marRight w:val="0"/>
      <w:marTop w:val="0"/>
      <w:marBottom w:val="0"/>
      <w:divBdr>
        <w:top w:val="none" w:sz="0" w:space="0" w:color="auto"/>
        <w:left w:val="none" w:sz="0" w:space="0" w:color="auto"/>
        <w:bottom w:val="none" w:sz="0" w:space="0" w:color="auto"/>
        <w:right w:val="none" w:sz="0" w:space="0" w:color="auto"/>
      </w:divBdr>
    </w:div>
    <w:div w:id="1755978554">
      <w:bodyDiv w:val="1"/>
      <w:marLeft w:val="0"/>
      <w:marRight w:val="0"/>
      <w:marTop w:val="0"/>
      <w:marBottom w:val="0"/>
      <w:divBdr>
        <w:top w:val="none" w:sz="0" w:space="0" w:color="auto"/>
        <w:left w:val="none" w:sz="0" w:space="0" w:color="auto"/>
        <w:bottom w:val="none" w:sz="0" w:space="0" w:color="auto"/>
        <w:right w:val="none" w:sz="0" w:space="0" w:color="auto"/>
      </w:divBdr>
    </w:div>
    <w:div w:id="2018774555">
      <w:bodyDiv w:val="1"/>
      <w:marLeft w:val="0"/>
      <w:marRight w:val="0"/>
      <w:marTop w:val="0"/>
      <w:marBottom w:val="0"/>
      <w:divBdr>
        <w:top w:val="none" w:sz="0" w:space="0" w:color="auto"/>
        <w:left w:val="none" w:sz="0" w:space="0" w:color="auto"/>
        <w:bottom w:val="none" w:sz="0" w:space="0" w:color="auto"/>
        <w:right w:val="none" w:sz="0" w:space="0" w:color="auto"/>
      </w:divBdr>
    </w:div>
    <w:div w:id="21140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2.png"/><Relationship Id="rId10" Type="http://schemas.openxmlformats.org/officeDocument/2006/relationships/image" Target="https://uspcomunidade.files.wordpress.com/2012/12/logo-fea-rp1.jpg?w=1200"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CBA39-D595-4276-A7CF-14391FC3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9458</Words>
  <Characters>51074</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GESTÃO DO CONHECIMENTO E INOVAÇÃO: UM ESTUDO BIBLIOMÉTRICO</vt:lpstr>
    </vt:vector>
  </TitlesOfParts>
  <Company>Microsoft</Company>
  <LinksUpToDate>false</LinksUpToDate>
  <CharactersWithSpaces>60412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DO CONHECIMENTO E INOVAÇÃO: UM ESTUDO BIBLIOMÉTRICO</dc:title>
  <dc:creator>LEIA</dc:creator>
  <cp:lastModifiedBy>Patricia</cp:lastModifiedBy>
  <cp:revision>11</cp:revision>
  <cp:lastPrinted>2013-07-19T14:46:00Z</cp:lastPrinted>
  <dcterms:created xsi:type="dcterms:W3CDTF">2017-12-17T13:08:00Z</dcterms:created>
  <dcterms:modified xsi:type="dcterms:W3CDTF">2017-12-18T01:06:00Z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17081378-130d-3538-9935-b367f669ec1d</vt:lpwstr>
  </property>
  <property fmtid="{D5CDD505-2E9C-101B-9397-08002B2CF9AE}" pid="24" name="Mendeley Citation Style_1">
    <vt:lpwstr>http://www.zotero.org/styles/apa</vt:lpwstr>
  </property>
</Properties>
</file>