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00" w:lineRule="auto"/>
        <w:ind w:left="0" w:right="160" w:firstLine="0"/>
        <w:jc w:val="center"/>
        <w:rPr>
          <w:rFonts w:ascii="Helvetica Neue" w:cs="Helvetica Neue" w:eastAsia="Helvetica Neue" w:hAnsi="Helvetica Neue"/>
          <w:color w:val="30303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BIZ0439-2019- </w:t>
      </w:r>
      <w:r w:rsidDel="00000000" w:rsidR="00000000" w:rsidRPr="00000000">
        <w:rPr>
          <w:rFonts w:ascii="Helvetica Neue" w:cs="Helvetica Neue" w:eastAsia="Helvetica Neue" w:hAnsi="Helvetica Neue"/>
          <w:color w:val="303030"/>
          <w:sz w:val="36"/>
          <w:szCs w:val="36"/>
          <w:rtl w:val="0"/>
        </w:rPr>
        <w:t xml:space="preserve">Atividade individual de análise</w:t>
      </w:r>
    </w:p>
    <w:p w:rsidR="00000000" w:rsidDel="00000000" w:rsidP="00000000" w:rsidRDefault="00000000" w:rsidRPr="00000000" w14:paraId="00000002">
      <w:pPr>
        <w:spacing w:line="400" w:lineRule="auto"/>
        <w:ind w:left="0" w:right="160" w:firstLine="0"/>
        <w:jc w:val="center"/>
        <w:rPr>
          <w:rFonts w:ascii="Helvetica Neue" w:cs="Helvetica Neue" w:eastAsia="Helvetica Neue" w:hAnsi="Helvetica Neue"/>
          <w:color w:val="30303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color w:val="303030"/>
          <w:sz w:val="36"/>
          <w:szCs w:val="36"/>
          <w:rtl w:val="0"/>
        </w:rPr>
        <w:t xml:space="preserve">Arthur Augusto Afonso de Araújo-N°USP 9798192</w:t>
      </w:r>
    </w:p>
    <w:p w:rsidR="00000000" w:rsidDel="00000000" w:rsidP="00000000" w:rsidRDefault="00000000" w:rsidRPr="00000000" w14:paraId="00000003">
      <w:pPr>
        <w:spacing w:line="400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00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00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03030"/>
          <w:sz w:val="24"/>
          <w:szCs w:val="24"/>
          <w:rtl w:val="0"/>
        </w:rPr>
        <w:t xml:space="preserve">Material audiovisual escolhido: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https://youtu.be/t-nmB-r6Eug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00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03030"/>
          <w:sz w:val="24"/>
          <w:szCs w:val="24"/>
          <w:rtl w:val="0"/>
        </w:rPr>
        <w:t xml:space="preserve">Analise: O material em questão é um vídeo do canal SciShow, que tem como foco a divulgação científica para o público geral. É gravado utilizando o plano médio e o plano próximo, devido ao fato de que consiste basicamente numa video aula, e que esses planos se adequam ao propósito do vídeo de aproximar a audiência do apresentador, quase dando um teor de conversa. Também aparecem textos e imagens na tela, para ilustrar alguns conceitos que estão sendo explicados. Mesmo que esteja em inglês, existem legendas em português. O esquema de cores não é distrativo, para contribuir com a eficácia do material. </w:t>
      </w:r>
    </w:p>
    <w:p w:rsidR="00000000" w:rsidDel="00000000" w:rsidP="00000000" w:rsidRDefault="00000000" w:rsidRPr="00000000" w14:paraId="00000008">
      <w:pPr>
        <w:spacing w:line="276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03030"/>
          <w:sz w:val="24"/>
          <w:szCs w:val="24"/>
          <w:rtl w:val="0"/>
        </w:rPr>
        <w:t xml:space="preserve">Atividade: Uma possível atividade em aula na qual esse material pode ser utilizado, usando informações de autores como Joan Ferrés, seria o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303030"/>
          <w:sz w:val="24"/>
          <w:szCs w:val="24"/>
          <w:rtl w:val="0"/>
        </w:rPr>
        <w:t xml:space="preserve">Resumo Objetivo</w:t>
      </w:r>
      <w:r w:rsidDel="00000000" w:rsidR="00000000" w:rsidRPr="00000000">
        <w:rPr>
          <w:rFonts w:ascii="Helvetica Neue" w:cs="Helvetica Neue" w:eastAsia="Helvetica Neue" w:hAnsi="Helvetica Neue"/>
          <w:color w:val="303030"/>
          <w:sz w:val="24"/>
          <w:szCs w:val="24"/>
          <w:rtl w:val="0"/>
        </w:rPr>
        <w:t xml:space="preserve">. Consistiria nos alunos se unindo em pequenos grupos após assistirem para realizarem um resumo que englobe as ideias principais, como os fatos de que a estrutura do DNA pode ser alterada para diversos fins e que não há nada de especial com as bases nitrogenadas do DNA de seres vivos terrestres. A informação pode ser armazenada em outros tipos de estruturas moleculares , desde que essas sejam compatíveis com a organização estrutural do DNA. Essa atividade englobaria principalmente o aspecto da linguagem científica, ao expor e se aprofundar em certos conceitos associados a biologia molecular.</w:t>
      </w:r>
    </w:p>
    <w:p w:rsidR="00000000" w:rsidDel="00000000" w:rsidP="00000000" w:rsidRDefault="00000000" w:rsidRPr="00000000" w14:paraId="0000000A">
      <w:pPr>
        <w:spacing w:line="276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303030"/>
          <w:sz w:val="24"/>
          <w:szCs w:val="24"/>
          <w:rtl w:val="0"/>
        </w:rPr>
        <w:t xml:space="preserve">Justificativa: O material em questão foi escolhido pois apresenta uma linguagem clara e objetiva, expõe os conceitos de forma direta, sucinta e de acordo com a literatura. Além disso, há uma certa descontração na explicação, o que a torna mais agradável do que uma videoaula mais formal. Esse canal é focado em explicações para leigos, e mantém uma simplicidade na transmissão da mensagem. Sendo um canal famoso (5,6 milhões de inscritos), existe também a chance de que alguns dos alunos de ensino médio já o conheçam, o que trará familiaridade com o material.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00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00" w:lineRule="auto"/>
        <w:ind w:left="0" w:right="160" w:firstLine="0"/>
        <w:jc w:val="both"/>
        <w:rPr>
          <w:rFonts w:ascii="Helvetica Neue" w:cs="Helvetica Neue" w:eastAsia="Helvetica Neue" w:hAnsi="Helvetica Neue"/>
          <w:color w:val="3030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00" w:lineRule="auto"/>
        <w:ind w:left="0" w:right="160" w:firstLine="0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t-nmB-r6Eu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