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t-BR"/>
        </w:rPr>
      </w:pPr>
      <w:r w:rsidRPr="003F3026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pt-BR"/>
        </w:rPr>
        <w:t>Espaço Educador Casa do Bem Viver</w:t>
      </w:r>
    </w:p>
    <w:p w:rsidR="00A3679F" w:rsidRPr="003F3026" w:rsidRDefault="00A3679F" w:rsidP="00A3679F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pt-BR"/>
        </w:rPr>
      </w:pPr>
      <w:r w:rsidRPr="003F3026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pt-BR"/>
        </w:rPr>
        <w:t>Caminhos para uma Universidade Sustentável</w:t>
      </w:r>
    </w:p>
    <w:p w:rsidR="00A3679F" w:rsidRPr="003F3026" w:rsidRDefault="00A3679F" w:rsidP="00A3679F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asciiTheme="majorHAnsi" w:eastAsia="Times New Roman" w:hAnsiTheme="majorHAnsi" w:cs="Arial"/>
          <w:bCs/>
          <w:color w:val="000000"/>
          <w:lang w:eastAsia="pt-BR"/>
        </w:rPr>
      </w:pPr>
      <w:r w:rsidRPr="003F3026">
        <w:rPr>
          <w:rFonts w:asciiTheme="majorHAnsi" w:eastAsia="Times New Roman" w:hAnsiTheme="majorHAnsi" w:cs="Arial"/>
          <w:bCs/>
          <w:color w:val="000000"/>
          <w:lang w:eastAsia="pt-BR"/>
        </w:rPr>
        <w:t xml:space="preserve"> Projeto executivo para concorrer ao </w:t>
      </w:r>
      <w:r w:rsidRPr="003F3026">
        <w:rPr>
          <w:rFonts w:asciiTheme="majorHAnsi" w:hAnsiTheme="majorHAnsi" w:cs="Arial"/>
          <w:color w:val="000000"/>
        </w:rPr>
        <w:t>Edital PRG/Santander Universidades/2: Santander e-</w:t>
      </w:r>
      <w:proofErr w:type="spellStart"/>
      <w:r w:rsidRPr="003F3026">
        <w:rPr>
          <w:rFonts w:asciiTheme="majorHAnsi" w:hAnsiTheme="majorHAnsi" w:cs="Arial"/>
          <w:color w:val="000000"/>
        </w:rPr>
        <w:t>Grad</w:t>
      </w:r>
      <w:proofErr w:type="spellEnd"/>
      <w:r w:rsidRPr="003F3026">
        <w:rPr>
          <w:rFonts w:asciiTheme="majorHAnsi" w:hAnsiTheme="majorHAnsi" w:cs="Arial"/>
          <w:color w:val="000000"/>
        </w:rPr>
        <w:t xml:space="preserve"> - Edição 2015/2016.</w:t>
      </w: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right"/>
        <w:rPr>
          <w:rFonts w:eastAsia="Times New Roman" w:cs="Arial"/>
          <w:bCs/>
          <w:color w:val="000000"/>
          <w:lang w:eastAsia="pt-BR"/>
        </w:rPr>
      </w:pPr>
      <w:r w:rsidRPr="003F3026">
        <w:rPr>
          <w:rFonts w:eastAsia="Times New Roman" w:cs="Arial"/>
          <w:bCs/>
          <w:color w:val="000000"/>
          <w:lang w:eastAsia="pt-BR"/>
        </w:rPr>
        <w:t>Laboratório de Educação e Política Ambiental – OCA</w:t>
      </w:r>
    </w:p>
    <w:p w:rsidR="00A3679F" w:rsidRPr="003F3026" w:rsidRDefault="00A3679F" w:rsidP="00A3679F">
      <w:pPr>
        <w:spacing w:after="0" w:line="240" w:lineRule="auto"/>
        <w:jc w:val="right"/>
        <w:rPr>
          <w:rFonts w:eastAsia="Times New Roman" w:cs="Arial"/>
          <w:bCs/>
          <w:color w:val="000000"/>
          <w:lang w:eastAsia="pt-BR"/>
        </w:rPr>
      </w:pPr>
      <w:r w:rsidRPr="003F3026">
        <w:rPr>
          <w:rFonts w:eastAsia="Times New Roman" w:cs="Arial"/>
          <w:bCs/>
          <w:color w:val="000000"/>
          <w:lang w:eastAsia="pt-BR"/>
        </w:rPr>
        <w:t xml:space="preserve">Núcleo de Apoio à Cultura e Extensão em </w:t>
      </w:r>
    </w:p>
    <w:p w:rsidR="00A3679F" w:rsidRPr="003F3026" w:rsidRDefault="00A3679F" w:rsidP="00A3679F">
      <w:pPr>
        <w:spacing w:after="0" w:line="240" w:lineRule="auto"/>
        <w:jc w:val="right"/>
        <w:rPr>
          <w:rFonts w:eastAsia="Times New Roman" w:cs="Arial"/>
          <w:bCs/>
          <w:color w:val="000000"/>
          <w:lang w:eastAsia="pt-BR"/>
        </w:rPr>
      </w:pPr>
      <w:proofErr w:type="gramStart"/>
      <w:r w:rsidRPr="003F3026">
        <w:rPr>
          <w:rFonts w:eastAsia="Times New Roman" w:cs="Arial"/>
          <w:bCs/>
          <w:color w:val="000000"/>
          <w:lang w:eastAsia="pt-BR"/>
        </w:rPr>
        <w:t>Educação e Conservação Ambiental</w:t>
      </w:r>
      <w:proofErr w:type="gramEnd"/>
      <w:r w:rsidRPr="003F3026">
        <w:rPr>
          <w:rFonts w:eastAsia="Times New Roman" w:cs="Arial"/>
          <w:bCs/>
          <w:color w:val="000000"/>
          <w:lang w:eastAsia="pt-BR"/>
        </w:rPr>
        <w:t xml:space="preserve"> NACE PTECA </w:t>
      </w: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  <w:r w:rsidRPr="003F3026">
        <w:rPr>
          <w:rFonts w:eastAsia="Times New Roman" w:cs="Arial"/>
          <w:b/>
          <w:bCs/>
          <w:color w:val="000000"/>
          <w:lang w:eastAsia="pt-BR"/>
        </w:rPr>
        <w:t>Piracicaba, 5 de fevereiro de 2016</w:t>
      </w: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77404C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  <w:r w:rsidRPr="003F3026">
        <w:rPr>
          <w:rFonts w:eastAsia="Times New Roman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51D5A" wp14:editId="2AF3FAE3">
                <wp:simplePos x="0" y="0"/>
                <wp:positionH relativeFrom="column">
                  <wp:posOffset>4492505</wp:posOffset>
                </wp:positionH>
                <wp:positionV relativeFrom="paragraph">
                  <wp:posOffset>-548149</wp:posOffset>
                </wp:positionV>
                <wp:extent cx="1111170" cy="740780"/>
                <wp:effectExtent l="0" t="0" r="0" b="254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170" cy="740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73729" id="Retângulo 12" o:spid="_x0000_s1026" style="position:absolute;margin-left:353.75pt;margin-top:-43.15pt;width:87.5pt;height:5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" fillcolor="white [3212]" stroked="f" strokeweight="1pt"/>
            </w:pict>
          </mc:Fallback>
        </mc:AlternateContent>
      </w:r>
    </w:p>
    <w:p w:rsidR="00A3679F" w:rsidRPr="003F3026" w:rsidRDefault="00A3679F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77404C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  <w:r w:rsidRPr="003F3026">
        <w:rPr>
          <w:rFonts w:eastAsia="Times New Roman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5A3C8" wp14:editId="76E91B7A">
                <wp:simplePos x="0" y="0"/>
                <wp:positionH relativeFrom="column">
                  <wp:posOffset>4949399</wp:posOffset>
                </wp:positionH>
                <wp:positionV relativeFrom="paragraph">
                  <wp:posOffset>-669089</wp:posOffset>
                </wp:positionV>
                <wp:extent cx="1122680" cy="786765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80" cy="7867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2F214" id="Elipse 11" o:spid="_x0000_s1026" style="position:absolute;margin-left:389.7pt;margin-top:-52.7pt;width:88.4pt;height:6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" filled="f" stroked="f" strokeweight="1pt">
                <v:stroke joinstyle="miter"/>
              </v:oval>
            </w:pict>
          </mc:Fallback>
        </mc:AlternateContent>
      </w: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77404C" w:rsidRPr="003F3026" w:rsidRDefault="0077404C" w:rsidP="0077404C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77404C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  <w:r w:rsidRPr="003F3026">
        <w:rPr>
          <w:rFonts w:eastAsia="Times New Roman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7329E" wp14:editId="63BD94D6">
                <wp:simplePos x="0" y="0"/>
                <wp:positionH relativeFrom="column">
                  <wp:posOffset>4871117</wp:posOffset>
                </wp:positionH>
                <wp:positionV relativeFrom="paragraph">
                  <wp:posOffset>-746800</wp:posOffset>
                </wp:positionV>
                <wp:extent cx="1111170" cy="740780"/>
                <wp:effectExtent l="0" t="0" r="0" b="254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170" cy="740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8C4BA" id="Retângulo 13" o:spid="_x0000_s1026" style="position:absolute;margin-left:383.55pt;margin-top:-58.8pt;width:87.5pt;height:5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" fillcolor="white [3212]" stroked="f" strokeweight="1pt"/>
            </w:pict>
          </mc:Fallback>
        </mc:AlternateContent>
      </w: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sdt>
      <w:sdtPr>
        <w:rPr>
          <w:rFonts w:asciiTheme="minorHAnsi" w:hAnsiTheme="minorHAnsi"/>
        </w:rPr>
        <w:id w:val="-1907373867"/>
        <w:docPartObj>
          <w:docPartGallery w:val="Table of Contents"/>
          <w:docPartUnique/>
        </w:docPartObj>
      </w:sdtPr>
      <w:sdtEndPr>
        <w:rPr>
          <w:rFonts w:eastAsia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520F7E" w:rsidRPr="003F3026" w:rsidRDefault="00520F7E" w:rsidP="00520F7E">
          <w:pPr>
            <w:pStyle w:val="CabealhodoSumrio"/>
            <w:jc w:val="center"/>
            <w:rPr>
              <w:rFonts w:asciiTheme="minorHAnsi" w:hAnsiTheme="minorHAnsi"/>
              <w:b/>
              <w:color w:val="auto"/>
            </w:rPr>
          </w:pPr>
          <w:r w:rsidRPr="003F3026">
            <w:rPr>
              <w:rFonts w:asciiTheme="minorHAnsi" w:hAnsiTheme="minorHAnsi"/>
              <w:b/>
              <w:color w:val="auto"/>
            </w:rPr>
            <w:t>Sumário</w:t>
          </w:r>
        </w:p>
        <w:p w:rsidR="0077404C" w:rsidRPr="003F3026" w:rsidRDefault="0077404C" w:rsidP="0077404C">
          <w:pPr>
            <w:rPr>
              <w:lang w:eastAsia="pt-BR"/>
            </w:rPr>
          </w:pPr>
        </w:p>
        <w:p w:rsidR="0077404C" w:rsidRPr="003F3026" w:rsidRDefault="0077404C" w:rsidP="0077404C">
          <w:pPr>
            <w:rPr>
              <w:lang w:eastAsia="pt-BR"/>
            </w:rPr>
          </w:pPr>
        </w:p>
        <w:p w:rsidR="00520F7E" w:rsidRPr="003F3026" w:rsidRDefault="00520F7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3F3026">
            <w:fldChar w:fldCharType="begin"/>
          </w:r>
          <w:r w:rsidRPr="003F3026">
            <w:instrText xml:space="preserve"> TOC \o "1-3" \h \z \u </w:instrText>
          </w:r>
          <w:r w:rsidRPr="003F3026">
            <w:fldChar w:fldCharType="separate"/>
          </w:r>
          <w:hyperlink w:anchor="_Toc442868794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1.</w:t>
            </w:r>
            <w:r w:rsidRPr="003F3026">
              <w:rPr>
                <w:rFonts w:eastAsiaTheme="minorEastAsia"/>
                <w:noProof/>
                <w:lang w:eastAsia="pt-BR"/>
              </w:rPr>
              <w:t xml:space="preserve"> </w:t>
            </w:r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Introdução e Justificativa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_Toc442868794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4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442868795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1.2</w:t>
            </w:r>
            <w:r w:rsidR="00F942C9" w:rsidRPr="003F3026">
              <w:rPr>
                <w:noProof/>
              </w:rPr>
              <w:t xml:space="preserve"> </w:t>
            </w:r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A questão hídrica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_Toc442868795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5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3"/>
            <w:tabs>
              <w:tab w:val="left" w:pos="1100"/>
              <w:tab w:val="right" w:leader="dot" w:pos="8494"/>
            </w:tabs>
            <w:rPr>
              <w:noProof/>
            </w:rPr>
          </w:pPr>
          <w:hyperlink w:anchor="_Toc442868796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1.3</w:t>
            </w:r>
            <w:r w:rsidR="00F942C9" w:rsidRPr="003F3026">
              <w:rPr>
                <w:noProof/>
              </w:rPr>
              <w:t xml:space="preserve"> </w:t>
            </w:r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Espaço Educador Casa do Bem Viver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_Toc442868796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6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797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2.</w:t>
            </w:r>
            <w:r w:rsidRPr="003F3026">
              <w:rPr>
                <w:rFonts w:eastAsiaTheme="minorEastAsia"/>
                <w:noProof/>
                <w:lang w:eastAsia="pt-BR"/>
              </w:rPr>
              <w:t xml:space="preserve"> </w:t>
            </w:r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Infraestruturas educadoras a serem implementadas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_Toc442868797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6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442868798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2.1 Tratamento das Águas Negras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_Toc442868798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6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442868799" w:history="1">
            <w:r w:rsidR="00F942C9"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2.2 Tratamento das Águas C</w:t>
            </w:r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inzas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_Toc442868799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7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00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3. Objetivo Geral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_Toc442868800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7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01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4. Objetivos Específicos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_Toc442868801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7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02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5. Metas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_Toc442868802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8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03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6. Ações e Detalhamento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_Toc442868803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8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04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7. Plano de Implantação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_Toc442868804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9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442868805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7.1 Cronograma Geral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_Toc442868805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9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442868806" w:history="1">
            <w:r w:rsidR="00F942C9"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7.2</w:t>
            </w:r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 xml:space="preserve"> Detalhamento Cronograma - Oficinas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_Toc442868806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10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07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8. Orçamento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_Toc442868807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10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2"/>
            <w:tabs>
              <w:tab w:val="right" w:leader="dot" w:pos="8494"/>
            </w:tabs>
            <w:rPr>
              <w:noProof/>
            </w:rPr>
          </w:pPr>
          <w:hyperlink w:anchor="_Toc442868808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8.1 Detalhamento - Tratamento das águas negras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_Toc442868808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10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3"/>
            <w:tabs>
              <w:tab w:val="right" w:leader="dot" w:pos="8494"/>
            </w:tabs>
            <w:rPr>
              <w:noProof/>
            </w:rPr>
          </w:pPr>
          <w:hyperlink w:anchor="_Toc442868809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8.2 Detalhamento - Tratamento das águas cinzas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_Toc442868809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11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10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9. Referências Bibliográficas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_Toc442868810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13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42868811" w:history="1">
            <w:r w:rsidRPr="003F3026">
              <w:rPr>
                <w:rStyle w:val="Hyperlink"/>
                <w:rFonts w:eastAsia="Times New Roman" w:cs="Arial"/>
                <w:b/>
                <w:bCs/>
                <w:noProof/>
                <w:lang w:eastAsia="pt-BR"/>
              </w:rPr>
              <w:t>ANEXO</w:t>
            </w:r>
            <w:r w:rsidRPr="003F3026">
              <w:rPr>
                <w:noProof/>
                <w:webHidden/>
              </w:rPr>
              <w:tab/>
            </w:r>
            <w:r w:rsidRPr="003F3026">
              <w:rPr>
                <w:noProof/>
                <w:webHidden/>
              </w:rPr>
              <w:fldChar w:fldCharType="begin"/>
            </w:r>
            <w:r w:rsidRPr="003F3026">
              <w:rPr>
                <w:noProof/>
                <w:webHidden/>
              </w:rPr>
              <w:instrText xml:space="preserve"> PAGEREF _Toc442868811 \h </w:instrText>
            </w:r>
            <w:r w:rsidRPr="003F3026">
              <w:rPr>
                <w:noProof/>
                <w:webHidden/>
              </w:rPr>
            </w:r>
            <w:r w:rsidRPr="003F3026">
              <w:rPr>
                <w:noProof/>
                <w:webHidden/>
              </w:rPr>
              <w:fldChar w:fldCharType="separate"/>
            </w:r>
            <w:r w:rsidRPr="003F3026">
              <w:rPr>
                <w:noProof/>
                <w:webHidden/>
              </w:rPr>
              <w:t>14</w:t>
            </w:r>
            <w:r w:rsidRPr="003F3026">
              <w:rPr>
                <w:noProof/>
                <w:webHidden/>
              </w:rPr>
              <w:fldChar w:fldCharType="end"/>
            </w:r>
          </w:hyperlink>
        </w:p>
        <w:p w:rsidR="00520F7E" w:rsidRPr="003F3026" w:rsidRDefault="00520F7E">
          <w:r w:rsidRPr="003F3026">
            <w:fldChar w:fldCharType="end"/>
          </w:r>
        </w:p>
      </w:sdtContent>
    </w:sdt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520F7E" w:rsidRPr="003F3026" w:rsidRDefault="00520F7E" w:rsidP="00A3679F">
      <w:pPr>
        <w:spacing w:after="0" w:line="240" w:lineRule="auto"/>
        <w:jc w:val="center"/>
        <w:rPr>
          <w:rFonts w:eastAsia="Times New Roman" w:cs="Arial"/>
          <w:b/>
          <w:bCs/>
          <w:color w:val="000000"/>
          <w:lang w:eastAsia="pt-BR"/>
        </w:rPr>
      </w:pPr>
    </w:p>
    <w:p w:rsidR="00A3679F" w:rsidRPr="003F3026" w:rsidRDefault="00A3679F" w:rsidP="00520F7E">
      <w:pPr>
        <w:pStyle w:val="Ttulo1"/>
        <w:numPr>
          <w:ilvl w:val="0"/>
          <w:numId w:val="11"/>
        </w:numPr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</w:pPr>
      <w:bookmarkStart w:id="0" w:name="_Toc442868794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Introdução e Justificativa</w:t>
      </w:r>
      <w:bookmarkEnd w:id="0"/>
    </w:p>
    <w:p w:rsidR="0077404C" w:rsidRPr="003F3026" w:rsidRDefault="0077404C" w:rsidP="0077404C">
      <w:pPr>
        <w:pStyle w:val="PargrafodaLista"/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pt-BR"/>
        </w:rPr>
      </w:pPr>
    </w:p>
    <w:p w:rsidR="0077404C" w:rsidRPr="003F3026" w:rsidRDefault="0077404C" w:rsidP="0077404C">
      <w:pPr>
        <w:pStyle w:val="PargrafodaLista"/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pt-BR"/>
        </w:rPr>
      </w:pPr>
    </w:p>
    <w:p w:rsidR="0077404C" w:rsidRPr="003F3026" w:rsidRDefault="0077404C" w:rsidP="0077404C">
      <w:pPr>
        <w:pStyle w:val="PargrafodaLista"/>
        <w:spacing w:after="0" w:line="240" w:lineRule="auto"/>
        <w:jc w:val="both"/>
        <w:rPr>
          <w:rFonts w:eastAsia="Times New Roman" w:cs="Times New Roman"/>
          <w:color w:val="000000"/>
          <w:lang w:eastAsia="pt-BR"/>
        </w:rPr>
      </w:pPr>
      <w:r w:rsidRPr="003F3026">
        <w:rPr>
          <w:rFonts w:eastAsia="Times New Roman" w:cs="Times New Roman"/>
          <w:i/>
          <w:iCs/>
          <w:color w:val="000000"/>
          <w:lang w:eastAsia="pt-BR"/>
        </w:rPr>
        <w:t xml:space="preserve">“Nos últimos anos, diversos países latino-americanos, como Equador e Bolívia, vem incorporando nas suas constituições, o conceito do bem-viver, que nas línguas dos povos originários soa como </w:t>
      </w:r>
      <w:proofErr w:type="spellStart"/>
      <w:r w:rsidRPr="003F3026">
        <w:rPr>
          <w:rFonts w:eastAsia="Times New Roman" w:cs="Times New Roman"/>
          <w:i/>
          <w:iCs/>
          <w:color w:val="000000"/>
          <w:lang w:eastAsia="pt-BR"/>
        </w:rPr>
        <w:t>Sumak</w:t>
      </w:r>
      <w:proofErr w:type="spellEnd"/>
      <w:r w:rsidRPr="003F3026">
        <w:rPr>
          <w:rFonts w:eastAsia="Times New Roman" w:cs="Times New Roman"/>
          <w:i/>
          <w:iCs/>
          <w:color w:val="000000"/>
          <w:lang w:eastAsia="pt-BR"/>
        </w:rPr>
        <w:t xml:space="preserve"> </w:t>
      </w:r>
      <w:proofErr w:type="spellStart"/>
      <w:r w:rsidRPr="003F3026">
        <w:rPr>
          <w:rFonts w:eastAsia="Times New Roman" w:cs="Times New Roman"/>
          <w:i/>
          <w:iCs/>
          <w:color w:val="000000"/>
          <w:lang w:eastAsia="pt-BR"/>
        </w:rPr>
        <w:t>Kawsay</w:t>
      </w:r>
      <w:proofErr w:type="spellEnd"/>
      <w:r w:rsidRPr="003F3026">
        <w:rPr>
          <w:rFonts w:eastAsia="Times New Roman" w:cs="Times New Roman"/>
          <w:i/>
          <w:iCs/>
          <w:color w:val="000000"/>
          <w:lang w:eastAsia="pt-BR"/>
        </w:rPr>
        <w:t xml:space="preserve"> (quíchua), Suma </w:t>
      </w:r>
      <w:proofErr w:type="spellStart"/>
      <w:r w:rsidRPr="003F3026">
        <w:rPr>
          <w:rFonts w:eastAsia="Times New Roman" w:cs="Times New Roman"/>
          <w:i/>
          <w:iCs/>
          <w:color w:val="000000"/>
          <w:lang w:eastAsia="pt-BR"/>
        </w:rPr>
        <w:t>Qamaña</w:t>
      </w:r>
      <w:proofErr w:type="spellEnd"/>
      <w:r w:rsidRPr="003F3026">
        <w:rPr>
          <w:rFonts w:eastAsia="Times New Roman" w:cs="Times New Roman"/>
          <w:i/>
          <w:iCs/>
          <w:color w:val="000000"/>
          <w:lang w:eastAsia="pt-BR"/>
        </w:rPr>
        <w:t xml:space="preserve"> (aimará), </w:t>
      </w:r>
      <w:proofErr w:type="spellStart"/>
      <w:r w:rsidRPr="003F3026">
        <w:rPr>
          <w:rFonts w:eastAsia="Times New Roman" w:cs="Times New Roman"/>
          <w:i/>
          <w:iCs/>
          <w:color w:val="000000"/>
          <w:lang w:eastAsia="pt-BR"/>
        </w:rPr>
        <w:t>Teko</w:t>
      </w:r>
      <w:proofErr w:type="spellEnd"/>
      <w:r w:rsidRPr="003F3026">
        <w:rPr>
          <w:rFonts w:eastAsia="Times New Roman" w:cs="Times New Roman"/>
          <w:i/>
          <w:iCs/>
          <w:color w:val="000000"/>
          <w:lang w:eastAsia="pt-BR"/>
        </w:rPr>
        <w:t xml:space="preserve"> Porã (guarani). Para alguns sociólogos e pesquisadores temos aí uma das grandes novidades no início do século XXI. Redescobre-se agora um conceito milenar: O ‘Viver Bem’. “A expressão Viver Bem, própria dos povos indígenas da Bolívia, significa, em primeiro lugar ‘viver bem entre nós’. Trata-se de uma convivência comunitária intercultural e sem assimetrias de poder (...). É um modo de viver sendo e sentindo-se parte da comunidade, com sua proteção e em harmonia com a natureza (...), diferenciando-se do ‘viver melhor’ ocidental, que é individualista e que se faz geralmente a expensas dos outros e, além disso, em contraponto à </w:t>
      </w:r>
      <w:proofErr w:type="gramStart"/>
      <w:r w:rsidRPr="003F3026">
        <w:rPr>
          <w:rFonts w:eastAsia="Times New Roman" w:cs="Times New Roman"/>
          <w:i/>
          <w:iCs/>
          <w:color w:val="000000"/>
          <w:lang w:eastAsia="pt-BR"/>
        </w:rPr>
        <w:t>natureza.”</w:t>
      </w:r>
      <w:proofErr w:type="gramEnd"/>
      <w:r w:rsidRPr="003F3026">
        <w:rPr>
          <w:rFonts w:eastAsia="Times New Roman" w:cs="Times New Roman"/>
          <w:color w:val="000000"/>
          <w:lang w:eastAsia="pt-BR"/>
        </w:rPr>
        <w:t xml:space="preserve"> (LESBAUPIN, 2011, p. 1) </w:t>
      </w:r>
    </w:p>
    <w:p w:rsidR="0077404C" w:rsidRPr="003F3026" w:rsidRDefault="0077404C" w:rsidP="0077404C">
      <w:pPr>
        <w:rPr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O projeto propõe apoio para a consolidação do Espaço Educador </w:t>
      </w:r>
      <w:r w:rsidRPr="003F3026">
        <w:rPr>
          <w:rFonts w:eastAsia="Times New Roman" w:cs="Arial"/>
          <w:i/>
          <w:iCs/>
          <w:color w:val="000000"/>
          <w:sz w:val="24"/>
          <w:szCs w:val="24"/>
          <w:lang w:eastAsia="pt-BR"/>
        </w:rPr>
        <w:t>Casa do Bem Viver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localizado no campus da Escola Superior de Agricultura “Luiz de Queiroz” (ESALQ/USP) em Piracicaba/SP através da instalação de infraestruturas educadoras que promovam ensino, extensão, gestão e produção de conhecimentos sobre o uso sustentável da água. A </w:t>
      </w:r>
      <w:r w:rsidRPr="003F3026">
        <w:rPr>
          <w:rFonts w:eastAsia="Times New Roman" w:cs="Arial"/>
          <w:i/>
          <w:iCs/>
          <w:color w:val="000000"/>
          <w:sz w:val="24"/>
          <w:szCs w:val="24"/>
          <w:lang w:eastAsia="pt-BR"/>
        </w:rPr>
        <w:t>Casa do Bem Vive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r tem por objetivo desenvolver a aplicar processos educadores para a formação de profissionais que fomentem a transição na direção de sociedades sustentáveis e conta com o apoio do Laboratório de Educação e Política Ambiental - Oca e do Núcleo de Apoio à Cultura e Extensão e Conservação - NACE PTECA. Neste sentido, a presente proposta visa incentivar abordagens educacionais transdisciplinares baseadas em estruturas educadoras para o enfrentamento da crise socioambiental, dando foco às</w:t>
      </w:r>
      <w:r w:rsidR="00520F7E"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inovações tecnológicas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que respondam especialmente à questão hídrica.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Boaventura de Sousa Santos (2001) situa o momento histórico da humanidade numa transição paradigmática, entre a decadência do paradigma da modernidade e a emergência de um novo paradigma. Ele distingue duas dimensões principais desta transição, tais quais: a epistemológica e a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societal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. A transição epistemológica, ocorre entre o paradigma dominante da ciência moderna e o paradigma emergente, que Santos designa como “paradigma de um conhecimento prudente para uma vida decente”. Diversos autores têm trazido como um dos pontos centrais da crise da modernidade e da transição para uma pós-modernidade a crise ambiental (SANTOS, 2000; LEFF, 2001b). Leis (1996) aponta que, nas últimas décadas, a dinâmica da ordem mundial tem sido marcada pela tendência da intensificação dos problemas ambientais globais e - como produto da preocupação pública deflagrada por esta crise - pela emergência e desenvolvimento do movimento ambientalista, propulsionado por atores sociais distintos.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Na compreensão de diversos autores a respeito da questão ambiental e ecológica (GORZ, 2010; BRANDÃO, 2005; LÖWY, 2005; BAUMAN, 2001, 2003; LEFF, 2001; CAMBI, 1999; CASTELLS, 1999;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McCORMICK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, 1992; GIDDENS, 1991; LAGO E PÁDUA, 1984; entre outros), a temática ultrapassou o campo biológico e conservacionista e hoje diz respeito 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lastRenderedPageBreak/>
        <w:t>a todas as esferas do existir. Isto aponta para uma evolução pedagógica que vai das tecnologias de ensino para atingir utopias a uma ciência que procura compreender a educação e os processos educadores, além de estimular a reflexão e o diálogo sobre as alternativas de caminhos para a construção das sociedades e humanidades desejadas.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O Ministério do Meio Ambiente (MMA, 2005) define que “espaços educadores são aqueles capazes de demonstrar alternativas viáveis para a sustentabilidade, estimulando as pessoas a desejarem realizar ações conjuntas em prol da coletividade e reconhecerem a necessidade de se educarem, neste sentido”. O Espaço Educador </w:t>
      </w:r>
      <w:r w:rsidRPr="003F3026">
        <w:rPr>
          <w:rFonts w:eastAsia="Times New Roman" w:cs="Arial"/>
          <w:i/>
          <w:iCs/>
          <w:color w:val="000000"/>
          <w:sz w:val="24"/>
          <w:szCs w:val="24"/>
          <w:lang w:eastAsia="pt-BR"/>
        </w:rPr>
        <w:t>Casa do Bem Viver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responde nesta direção e introduz questões ambientais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através da </w:t>
      </w:r>
      <w:r w:rsidRPr="003F3026">
        <w:rPr>
          <w:rFonts w:eastAsia="Times New Roman" w:cs="Arial"/>
          <w:i/>
          <w:iCs/>
          <w:color w:val="000000"/>
          <w:sz w:val="24"/>
          <w:szCs w:val="24"/>
          <w:lang w:eastAsia="pt-BR"/>
        </w:rPr>
        <w:t>práxis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para estudantes de graduação dos cursos de Ciências Biológicas, Gestão Ambiental, Engenharia Agronômica, Engenharia Florestal, Ciência dos Alimentos e Ciências Econômicas.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Desta forma, em novembro de 2015 foi solicitada uma análise do espaço ao Laboratório de Educação e Política Ambiental - Oca quando foi recomendada a implantação de tratamento de águas cinzas e negras para que seja possível seu retorno ao ambiente ou para o reuso em atividades de adubação ou irrigação. Portanto, busca-se através deste edital pleitear recursos para a realização de obras para tratamento de água de forma inovadora e sustentável como prática educadora ao ensino de graduação, e até mesmo de pós graduação, no campus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da  Escola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Superior de Agricultura “Luiz de Queiroz” (ESALQ/USP). </w:t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520F7E" w:rsidP="00520F7E">
      <w:pPr>
        <w:pStyle w:val="PargrafodaLista"/>
        <w:numPr>
          <w:ilvl w:val="1"/>
          <w:numId w:val="9"/>
        </w:numPr>
        <w:spacing w:after="0" w:line="240" w:lineRule="auto"/>
        <w:textAlignment w:val="baseline"/>
        <w:outlineLvl w:val="1"/>
        <w:rPr>
          <w:rFonts w:eastAsia="Times New Roman" w:cs="Arial"/>
          <w:b/>
          <w:bCs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 xml:space="preserve"> </w:t>
      </w:r>
      <w:bookmarkStart w:id="1" w:name="_Toc442868795"/>
      <w:r w:rsidR="00A3679F"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>A questão hídrica</w:t>
      </w:r>
      <w:bookmarkEnd w:id="1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A Companhia de Saneamento Básico do Estado de São Paulo (SABESP) declarou, em seu Relatório de Sustentabilidade de 2014 que “a região Sudeste enfrenta sua pior crise hídrica da história”. A falta de chuvas e a diminuição dos níveis dos principais reservatórios de água do Estado de São Paulo aumentaram a preocupação da população e de instituições públicas sobre a escassez de água nos anos de 2014 e 2015.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Diversos setores da sociedade estão agindo para mitigar os efeitos da falta de água, entre eles as instituições de ensino que tem estimulado pesquisas e ações no âmbito hídrico. A Universidade de São Paulo reflete os anseios da sociedade, principalmente, no que concerne as questões ambientais. Assim, a Superintendência de Gestão Ambiental (SGA/USP) está estruturando a Política Ambiental da Universidade, que procura inserir a esfera da sustentabilidade no ensino, pesquisa, extensão e gestão. A Política é uma maneira de incidir na internalização de valores, diretrizes e procedimentos comprometidos com melhores condições de vida. Trata-se de inserir, promover e institucionalizar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  dimensão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socioambiental e a Educação Ambiental na cultura e no cotidiano acadêmico, administrativo e operacional da universidade e de sua comunidade.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Dessa forma, o presente projeto pretende materializar princípios e diretrizes da Política Ambiental da USP, que por sua vez, está executando o Artigo 225 da Constituição Federal de 1988: “Todos têm direito ao meio ambiente ecologicamente equilibrado, 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lastRenderedPageBreak/>
        <w:t xml:space="preserve">bem de uso comum do povo e essencial à sadia qualidade de vida, impondo-se ao Poder Público e à coletividade o dever de defendê-lo e </w:t>
      </w:r>
      <w:proofErr w:type="spellStart"/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preservá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-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lo</w:t>
      </w:r>
      <w:proofErr w:type="spellEnd"/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para as presentes e futuras gerações”.</w:t>
      </w:r>
    </w:p>
    <w:p w:rsidR="00A3679F" w:rsidRPr="003F3026" w:rsidRDefault="00A3679F" w:rsidP="00A3679F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77404C" w:rsidP="00520F7E">
      <w:pPr>
        <w:pStyle w:val="PargrafodaLista"/>
        <w:numPr>
          <w:ilvl w:val="1"/>
          <w:numId w:val="9"/>
        </w:numPr>
        <w:spacing w:after="0" w:line="240" w:lineRule="auto"/>
        <w:textAlignment w:val="baseline"/>
        <w:outlineLvl w:val="2"/>
        <w:rPr>
          <w:rFonts w:eastAsia="Times New Roman" w:cs="Arial"/>
          <w:b/>
          <w:bCs/>
          <w:color w:val="000000"/>
          <w:sz w:val="24"/>
          <w:szCs w:val="24"/>
          <w:lang w:eastAsia="pt-BR"/>
        </w:rPr>
      </w:pPr>
      <w:bookmarkStart w:id="2" w:name="_Toc442868796"/>
      <w:r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A3679F"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>Espaço Educador</w:t>
      </w:r>
      <w:r w:rsid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>:</w:t>
      </w:r>
      <w:r w:rsidR="00A3679F"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 xml:space="preserve"> Casa do Bem Viver</w:t>
      </w:r>
      <w:bookmarkEnd w:id="2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O nome “Espaço Educador: Casa do Bem Viver" procura afirmar a importância de espaços que educam para a sustentabilidade, ou seja, construções, estruturas e configurações espaciais, planejadas ou adaptadas com o propósito principal ou complementar de: i) promover construção de saberes e conhecimentos através do convívio interpessoal;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ii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) disponibilizar informações ou estímulos para sensibilização ou aprendizagens para além do currículo formal;  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iii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) possibilitar experimentação ou contato sensorial com o meio;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iv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) estimular reflexões e ações de proteção socioambiental e melhoria da qualidade de vida. </w:t>
      </w: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Bem Viver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é um conceito político, econômico e social que tem por referência a visão dos povos originários da América, que significa viver em aprendizado e convivência com a natureza. A Casa do Bem Viver está localizada na Colônia do Bananal, dentro do Campus “Luiz de Queiroz” da Universidade de São Paulo, em Piracicaba/São Paulo. A Colônia do Bananal foi utilizada durante muitos anos para abrigar em 8 casas funcionários do Campus e suas famílias. Uma das casas foi cedida no ano de 2014 para as atividades do Núcleo de Apoio à Cultura e Extensão em Educação e Conservação Ambiental (NACE PTECA) que atualmente realiza manutenções básica, porém sem recursos para implementar novas estruturas. A Casa possui 5 cômodos (sala, 2 quartos, cozinha e banheiro) que serão adaptadas em 3 salas para encontros e reuniões de formação, e ainda, uma área externa com jardim, horta e pomar (imagens do ambiente estão em anexo).</w:t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PargrafodaLista"/>
        <w:numPr>
          <w:ilvl w:val="0"/>
          <w:numId w:val="11"/>
        </w:numPr>
        <w:spacing w:after="0" w:line="240" w:lineRule="auto"/>
        <w:textAlignment w:val="baseline"/>
        <w:outlineLvl w:val="0"/>
        <w:rPr>
          <w:rFonts w:eastAsia="Times New Roman" w:cs="Arial"/>
          <w:b/>
          <w:bCs/>
          <w:color w:val="000000"/>
          <w:sz w:val="24"/>
          <w:szCs w:val="24"/>
          <w:lang w:eastAsia="pt-BR"/>
        </w:rPr>
      </w:pPr>
      <w:bookmarkStart w:id="3" w:name="_Toc442868797"/>
      <w:r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>Infraestruturas educadoras a serem implementadas</w:t>
      </w:r>
      <w:bookmarkEnd w:id="3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PargrafodaLista"/>
        <w:numPr>
          <w:ilvl w:val="1"/>
          <w:numId w:val="10"/>
        </w:numPr>
        <w:spacing w:after="0" w:line="240" w:lineRule="auto"/>
        <w:textAlignment w:val="baseline"/>
        <w:outlineLvl w:val="1"/>
        <w:rPr>
          <w:rFonts w:eastAsia="Times New Roman" w:cs="Arial"/>
          <w:b/>
          <w:bCs/>
          <w:color w:val="000000"/>
          <w:sz w:val="24"/>
          <w:szCs w:val="24"/>
          <w:lang w:eastAsia="pt-BR"/>
        </w:rPr>
      </w:pPr>
      <w:bookmarkStart w:id="4" w:name="_Toc442868798"/>
      <w:r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>Tratamento das Águas Negras</w:t>
      </w:r>
      <w:bookmarkEnd w:id="4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Para o tratamento das águas negras, ou seja, oriundas do vaso sanitário, é proposta a bacia de evapotranspiração, esta tecnologia tem como objetivo reaproveitar o efluente líquido excedente, pois ele é todo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evapotranspirado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pela vegetação inseridas no sistema de tratamento.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A bacia de evapotranspiração tem sua estrutura em alvenaria impermeabilizada (tijolos, cimento e concreto armado) parcialmente enterrada no solo. Nesta estrutura as águas negras entram na câmara de recepção onde ficam retidos a maior parte dos sólidos presentes nas águas negras. Conforme há maior contribuição de águas negras, estas começam a permear as camadas superiores, passando por materiais cerâmicos, brita, areia e solo. Ao atingir a camada de solo, o esgoto ascende por capilaridade do solo e das plantas até a superfície, onde evapora. Durante o trajeto, a água negra é filtrada e mineralizada. As plantas inseridas na bacia (na camada de solo) buscam água e nutrientes (decorrente da degradação biológica da água negra).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Como a bacia de evapotranspiração é uma unidade a céu aberto, ela está sujeita às intempéries, tais como entrada de águas pluviais por precipitação (e não por escoamento). Visto isso, há necessidade de uma unidade de tratamento e disposição final para que ao longo do funcionamento da bacia o excesso de líquido não evaporado (ou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evapotranspirado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) não contamine o ambiente. Para tanto é proposto a implementação de um canteiro de infiltração e evapotranspiração.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2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5" w:name="_Toc442868799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2.2 Tratamento das águas cinzas</w:t>
      </w:r>
      <w:bookmarkEnd w:id="5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Para o tratamento das águas cinzas, ou seja, lavabos, pia da cozinha e tanque, é proposto um tratamento múltiplo composto de 4 etapas, sendo estas: i) caixa de gordura;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ii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) digestão anaeróbia;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iii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)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wetland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;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iv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) disposição final adequada, podendo ser tanto irrigação de frutíferas como uma simples infiltração.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A caixa de gordura é uma estrutura impermeabilizada destinada a receber somente o esgoto da pia da cozinha. Tem como função a retenção dos materiais flutuantes, especificadamente óleos e gorduras. A digestão anaeróbia das águas cinzas é feita em estruturas plásticas tampadas (com respiro) onde há sedimentação dos materiais sólidos e digestão da parte sedimentada e dissolvida das águas cinzas. A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wetland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é uma estrutura trapezoidal escavada no solo, devidamente impermeabilizada (com mantas de PVC), preenchida de um recheio molhado (brita, entulho cerâmico, anéis de bambu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etc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) e terra. O nível de água dentro dela se mantém abaixo da terra (no recheio molhado), assim a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wetland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é classificada como de fluxo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subsuperficial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. Na camada superior (terra) são plantados espécimes com alta taxa de evapotranspiração, produção de raízes e beleza estética.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6" w:name="_Toc442868800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3. Objetivo Geral</w:t>
      </w:r>
      <w:bookmarkEnd w:id="6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Contribuir para a criação e consolidação de estruturas educadoras demonstrativas no Espaço Educador </w:t>
      </w:r>
      <w:r w:rsidRPr="003F3026">
        <w:rPr>
          <w:rFonts w:eastAsia="Times New Roman" w:cs="Arial"/>
          <w:i/>
          <w:iCs/>
          <w:color w:val="000000"/>
          <w:sz w:val="24"/>
          <w:szCs w:val="24"/>
          <w:lang w:eastAsia="pt-BR"/>
        </w:rPr>
        <w:t>Casa do Bem Viver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destinadas a atividades de curriculares e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extra curriculares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no campo socioambiental.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7" w:name="_Toc442868801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4. Objetivos Específicos</w:t>
      </w:r>
      <w:bookmarkEnd w:id="7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numPr>
          <w:ilvl w:val="0"/>
          <w:numId w:val="6"/>
        </w:numPr>
        <w:spacing w:after="0" w:line="240" w:lineRule="auto"/>
        <w:ind w:left="-18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Adaptar as instalações de uma construção no campus da USP de Piracicaba, para que funcione como uma estrutura educadora contextualizada na problemática socioambiental, regional e local, promovendo atividades de ensino, extensão, gestão e produção de conhecimentos na área;</w:t>
      </w:r>
    </w:p>
    <w:p w:rsidR="00A3679F" w:rsidRPr="003F3026" w:rsidRDefault="00A3679F" w:rsidP="00A3679F">
      <w:pPr>
        <w:numPr>
          <w:ilvl w:val="0"/>
          <w:numId w:val="6"/>
        </w:numPr>
        <w:spacing w:after="0" w:line="240" w:lineRule="auto"/>
        <w:ind w:left="-18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Contribuir para a ampliação das reflexões/ações dos estudantes acerca das temáticas socioambientais, estimulando a produção de conhecimentos e ações na área;</w:t>
      </w:r>
    </w:p>
    <w:p w:rsidR="00A3679F" w:rsidRPr="003F3026" w:rsidRDefault="00A3679F" w:rsidP="00A3679F">
      <w:pPr>
        <w:numPr>
          <w:ilvl w:val="0"/>
          <w:numId w:val="6"/>
        </w:numPr>
        <w:spacing w:after="0" w:line="240" w:lineRule="auto"/>
        <w:ind w:left="-18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Propiciar um ambiente modelo de tecnologias sustentáveis focadas na gestão de recursos hídricos dentro da ESALQ/USP;</w:t>
      </w:r>
    </w:p>
    <w:p w:rsidR="00A3679F" w:rsidRPr="003F3026" w:rsidRDefault="00A3679F" w:rsidP="00A3679F">
      <w:pPr>
        <w:numPr>
          <w:ilvl w:val="0"/>
          <w:numId w:val="6"/>
        </w:numPr>
        <w:spacing w:after="0" w:line="240" w:lineRule="auto"/>
        <w:ind w:left="-18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lastRenderedPageBreak/>
        <w:t>Incentivar a produção de artigos científicos, trabalhos em grupo, observações de campo e projetos de intervenção socioambiental;</w:t>
      </w:r>
    </w:p>
    <w:p w:rsidR="00A3679F" w:rsidRPr="003F3026" w:rsidRDefault="00A3679F" w:rsidP="00A3679F">
      <w:pPr>
        <w:numPr>
          <w:ilvl w:val="0"/>
          <w:numId w:val="6"/>
        </w:numPr>
        <w:spacing w:after="0" w:line="240" w:lineRule="auto"/>
        <w:ind w:left="-18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Fortalecer os processos de ensino-aprendizagem nas disciplinas de graduação ligadas a questões ambientais: </w:t>
      </w:r>
      <w:r w:rsidRPr="003F3026">
        <w:rPr>
          <w:rFonts w:eastAsia="Times New Roman" w:cs="Arial"/>
          <w:i/>
          <w:iCs/>
          <w:color w:val="000000"/>
          <w:sz w:val="24"/>
          <w:szCs w:val="24"/>
          <w:lang w:eastAsia="pt-BR"/>
        </w:rPr>
        <w:t>LCF0270 - Educação Ambiental; LCF0662 - Projetos de Educação Ambiental; LCF0644 - Manejo de Recursos Naturais Renováveis; LCF0681 - Biologia e Produção de Sementes Florestais, dentre outras.</w:t>
      </w:r>
    </w:p>
    <w:p w:rsidR="00A3679F" w:rsidRPr="003F3026" w:rsidRDefault="00A3679F" w:rsidP="00A3679F">
      <w:pPr>
        <w:numPr>
          <w:ilvl w:val="0"/>
          <w:numId w:val="6"/>
        </w:numPr>
        <w:spacing w:after="0" w:line="240" w:lineRule="auto"/>
        <w:ind w:left="-105"/>
        <w:jc w:val="both"/>
        <w:textAlignment w:val="baseline"/>
        <w:rPr>
          <w:rFonts w:eastAsia="Times New Roman" w:cs="Arial"/>
          <w:i/>
          <w:iCs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Fortalecer os processos de ensino-aprendizagem junto à grupos de extensão, especialmente vinculados ao Laboratório de Educação e Política Ambiental - Oca e Núcleo de Apoio à Cultura e Extensão em Educação e Conservação Ambiental - NACE PTECA.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8" w:name="_Toc442868802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5. Metas</w:t>
      </w:r>
      <w:bookmarkEnd w:id="8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As seguintes metas possibilitarão melhor avaliação dos objetivos propostos pelo projeto: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Realizar a reforma do espaço com instalação de infraestrutura educadora para o sistema de tratamento de águas negras referente a uso de 1 sanitário até 8 meses após início do projeto;</w:t>
      </w:r>
    </w:p>
    <w:p w:rsidR="00A3679F" w:rsidRPr="003F3026" w:rsidRDefault="00A3679F" w:rsidP="00A3679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Realizar a reforma do espaço com instalação de infraestrutura educadora para o tratamento de águas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cinzas referente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ao uso de 1 lavabo, 1 pia da cozinha e 1 tanque, até 6 meses após início do projeto;</w:t>
      </w:r>
    </w:p>
    <w:p w:rsidR="00A3679F" w:rsidRPr="003F3026" w:rsidRDefault="00A3679F" w:rsidP="00A3679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Possibilitar e orientar a visita de 250 estudantes de graduação ao local até 10 meses após o início do projeto; </w:t>
      </w:r>
    </w:p>
    <w:p w:rsidR="00A3679F" w:rsidRPr="003F3026" w:rsidRDefault="00A3679F" w:rsidP="00A3679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Elaborar um vídeo didático sobre a instalação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da estruturas educadoras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durante todo o projeto para ser disponibilizada no Laboratório de Educação e Política Ambiental - Oca até 12 meses após início do projeto; </w:t>
      </w:r>
    </w:p>
    <w:p w:rsidR="00A3679F" w:rsidRPr="003F3026" w:rsidRDefault="00A3679F" w:rsidP="00A3679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Realizar 4 oficinas relacionadas as estruturas educadoras e as temáticas relacionadas para estudantes de graduação da ESALQ/USP até 12 meses após início do projeto;</w:t>
      </w:r>
    </w:p>
    <w:p w:rsidR="00A3679F" w:rsidRPr="003F3026" w:rsidRDefault="00A3679F" w:rsidP="00A3679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Envolver 3 grupos de extensão para elaboração conjunta de atividades no Espaço Educador Casa do Bem Viver até 12 meses após início do projeto.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9" w:name="_Toc442868803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6. Ações e Detalhamento</w:t>
      </w:r>
      <w:bookmarkEnd w:id="9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O foco do projeto é, portanto, estabelecer estruturas educadoras que possam ser utilizadas nos processos de ensino e aprendizagem dos estudantes de graduação. Essas estruturas tem o potencial de despertar nos estudantes pensamentos críticos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 cerca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de problemáticas socioambientais, especialmente relacionadas à questão hídrica.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Os docentes poderão utilizar as estruturas para exemplificar processos sustentáveis e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autogestionados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de recursos hídricos, assim como, subsidiar atividades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extra curriculares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ligadas ao Laboratório de Educação e Política Ambiental (OCA).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 avaliação do projeto se dará de forma permanente e continuada, pois, para a consolidação do espaço educador contaremos com a presença de um servidor da Universidade que exerce a função de técnico agrícola.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Os indicadores que serão utilizados para a avaliação são: (i) eficiência técnica das estruturas educadoras; (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ii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) número de estudantes visitantes do espaço; (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iii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) quantidade de trabalhos e artigos desenvolvidos nas atividades; (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iv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) relevância dos temas abordados; (v) número de aulas ministradas no ambiente; (vi)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autoavaliações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e avaliações coletivas dos alunos e professores.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ind w:left="540"/>
        <w:rPr>
          <w:rFonts w:eastAsia="Times New Roman" w:cs="Arial"/>
          <w:b/>
          <w:bCs/>
          <w:color w:val="000000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10" w:name="_Toc442868804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7. Plano de Implantação</w:t>
      </w:r>
      <w:bookmarkEnd w:id="10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 xml:space="preserve">  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2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11" w:name="_Toc442868805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7.1 Cronograma Geral</w:t>
      </w:r>
      <w:bookmarkEnd w:id="11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As marcações representam os momentos em que haverá atividades preparatórias e de intervenção no Espaço Educador:</w:t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8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454"/>
        <w:gridCol w:w="454"/>
        <w:gridCol w:w="454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ind w:right="-63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ATIVIDADE/MES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12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Instalação das estruturas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Possibilitar e orientar visitas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Oficinas e atividades com grupos de extensão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Elaboração e vídeo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x</w:t>
            </w:r>
            <w:proofErr w:type="gramEnd"/>
          </w:p>
        </w:tc>
      </w:tr>
    </w:tbl>
    <w:p w:rsidR="00A3679F" w:rsidRPr="003F3026" w:rsidRDefault="00A3679F" w:rsidP="00520F7E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Times New Roman"/>
          <w:sz w:val="24"/>
          <w:szCs w:val="24"/>
          <w:lang w:eastAsia="pt-BR"/>
        </w:rPr>
        <w:br/>
      </w:r>
      <w:r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 xml:space="preserve">7.2 Detalhamento Cronograma - Instalações das estruturas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1"/>
        <w:gridCol w:w="2920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Item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Tempo previsto (dias úteis)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Coleta de dados para reforma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Elaboração de projeto executivo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15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Execução da proposta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30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Monitoramento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51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3"/>
        <w:rPr>
          <w:rFonts w:asciiTheme="minorHAnsi" w:eastAsia="Times New Roman" w:hAnsiTheme="minorHAnsi" w:cs="Times New Roman"/>
          <w:lang w:eastAsia="pt-BR"/>
        </w:rPr>
      </w:pPr>
      <w:bookmarkStart w:id="12" w:name="_Toc442868806"/>
      <w:r w:rsidRPr="003F3026">
        <w:rPr>
          <w:rFonts w:asciiTheme="minorHAnsi" w:eastAsia="Times New Roman" w:hAnsiTheme="minorHAnsi" w:cs="Arial"/>
          <w:b/>
          <w:bCs/>
          <w:color w:val="000000"/>
          <w:lang w:eastAsia="pt-BR"/>
        </w:rPr>
        <w:t>7.3 Detalhamento Cronograma - Oficinas</w:t>
      </w:r>
      <w:bookmarkEnd w:id="12"/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6"/>
        <w:gridCol w:w="4046"/>
        <w:gridCol w:w="1495"/>
        <w:gridCol w:w="1911"/>
      </w:tblGrid>
      <w:tr w:rsidR="00A3679F" w:rsidRPr="003F3026" w:rsidTr="00A3679F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Tema Gerador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Formato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Carga Horária (horas)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Oficina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Relações Humanas e Meio Ambiente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Teórico-Prática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Oficina 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Princípios do Desenho Ecológico de uma Residência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Teórico-Prática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Oficina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Tratamento de Águas Cinzas e Negras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Teórico-Prática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Oficina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Uso Sustentável da Água na Agricultura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Teórico-Prática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Times New Roman"/>
          <w:sz w:val="24"/>
          <w:szCs w:val="24"/>
          <w:lang w:eastAsia="pt-BR"/>
        </w:rPr>
        <w:br/>
      </w:r>
      <w:r w:rsidRPr="003F3026">
        <w:rPr>
          <w:rFonts w:eastAsia="Times New Roman" w:cs="Times New Roman"/>
          <w:sz w:val="24"/>
          <w:szCs w:val="24"/>
          <w:lang w:eastAsia="pt-BR"/>
        </w:rPr>
        <w:br/>
      </w:r>
      <w:r w:rsidRPr="003F3026">
        <w:rPr>
          <w:rFonts w:eastAsia="Times New Roman" w:cs="Times New Roman"/>
          <w:sz w:val="24"/>
          <w:szCs w:val="24"/>
          <w:lang w:eastAsia="pt-BR"/>
        </w:rPr>
        <w:br/>
      </w:r>
      <w:r w:rsidRPr="003F3026">
        <w:rPr>
          <w:rFonts w:eastAsia="Times New Roman" w:cs="Times New Roman"/>
          <w:sz w:val="24"/>
          <w:szCs w:val="24"/>
          <w:lang w:eastAsia="pt-BR"/>
        </w:rPr>
        <w:br/>
      </w: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13" w:name="_Toc442868807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8. Orçamento</w:t>
      </w:r>
      <w:bookmarkEnd w:id="13"/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73"/>
        <w:gridCol w:w="1557"/>
      </w:tblGrid>
      <w:tr w:rsidR="00A3679F" w:rsidRPr="003F3026" w:rsidTr="00A3679F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Material para tratamento das águas negras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8.670,00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Material para tratamento das águas cinzas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1.368,00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Recursos humanos para projeto e acompanhamento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8.550,00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Recursos humanos para instalação da estrutura educadora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1.400,00 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19.988,00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2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14" w:name="_Toc442868808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8.1 Detalhamento - Tratamento das águas negras</w:t>
      </w:r>
      <w:bookmarkEnd w:id="14"/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91"/>
        <w:gridCol w:w="2139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Itens da bacia de evapotranspiração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Custo(</w:t>
            </w:r>
            <w:proofErr w:type="gramEnd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Estrutura da bacia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6.570,00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Recheio cerâmico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990,00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Recheio de pedra britada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360,00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Recheio de areia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360,00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Tubulação e acessórios internos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150,00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Geotêxtil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100,00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lastRenderedPageBreak/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8.530,00*</w:t>
            </w:r>
          </w:p>
        </w:tc>
      </w:tr>
    </w:tbl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*A estrutura da bacia de evapotranspiração é um piso de concreto armado, paredes de alvenaria revestidas internamente com reboco com colunas de concreto armado e impermeabilização com resina de mamona de toda a parte interna da bacia.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7"/>
        <w:gridCol w:w="2383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Itens do canteiro de infiltração e</w:t>
            </w:r>
          </w:p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evapotranspiração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Pedra britada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90,00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Tubulação e acessórios internos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50,00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140,00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Times New Roman"/>
          <w:sz w:val="24"/>
          <w:szCs w:val="24"/>
          <w:lang w:eastAsia="pt-BR"/>
        </w:rPr>
        <w:br/>
      </w:r>
    </w:p>
    <w:p w:rsidR="00A3679F" w:rsidRPr="003F3026" w:rsidRDefault="00A3679F" w:rsidP="00520F7E">
      <w:pPr>
        <w:pStyle w:val="Ttulo3"/>
        <w:rPr>
          <w:rFonts w:asciiTheme="minorHAnsi" w:eastAsia="Times New Roman" w:hAnsiTheme="minorHAnsi" w:cs="Times New Roman"/>
          <w:lang w:eastAsia="pt-BR"/>
        </w:rPr>
      </w:pPr>
      <w:bookmarkStart w:id="15" w:name="_Toc442868809"/>
      <w:r w:rsidRPr="003F3026">
        <w:rPr>
          <w:rFonts w:asciiTheme="minorHAnsi" w:eastAsia="Times New Roman" w:hAnsiTheme="minorHAnsi" w:cs="Arial"/>
          <w:b/>
          <w:bCs/>
          <w:color w:val="000000"/>
          <w:lang w:eastAsia="pt-BR"/>
        </w:rPr>
        <w:t>8.2 Detalhamento - Tratamento das águas cinzas</w:t>
      </w:r>
      <w:bookmarkEnd w:id="15"/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  <w:gridCol w:w="1980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Item da caixa de gordura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Caixa de gordura pré-fabricada em plástico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150,00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9"/>
        <w:gridCol w:w="2171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Itens da digestão anaeróbia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  <w:p w:rsidR="00A3679F" w:rsidRPr="003F3026" w:rsidRDefault="00A3679F" w:rsidP="00A3679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Tambor plástico 200 litros com tampa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140,00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Tubulação e acessórios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150,00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TOTAL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290,00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2"/>
        <w:gridCol w:w="2388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Itens da </w:t>
            </w:r>
            <w:proofErr w:type="spellStart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wetland</w:t>
            </w:r>
            <w:proofErr w:type="spellEnd"/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Manta PVC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248,20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Recheio molhado (pedra britada)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200,00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Tubulação e acessórios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130,00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578,20</w:t>
            </w:r>
          </w:p>
        </w:tc>
      </w:tr>
    </w:tbl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7"/>
        <w:gridCol w:w="1643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Itens dos canteiros de infiltração e evapotranspiração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Caixa de passagem para alternância de uso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150,00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Tubulação e acessórios internos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70,00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Pedra britada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130,00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350,00</w:t>
            </w:r>
          </w:p>
        </w:tc>
      </w:tr>
    </w:tbl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b/>
          <w:bCs/>
          <w:color w:val="000000"/>
          <w:sz w:val="24"/>
          <w:szCs w:val="24"/>
          <w:lang w:eastAsia="pt-BR"/>
        </w:rPr>
        <w:t xml:space="preserve">8.3 Detalhamento - Recursos Humanos - Instalação de estruturas educadoras 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-projeto: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visita(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s) ao local para coleta de informações de ocupação, do uso e disposição do sistema de esgotamento. Dimensionamento, determinação dos desenhos técnicos a serem seguidos (trajetos de tubulações, localização das etapas de tratamento e disposição final, especificações de montagem, uso e manutenção dos sistemas propostos), quantificação e orçamento dos materiais a serem usados;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-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execução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: acompanhamento da obra pela empresa. Aqui há garantia de que o sistema proposto seguirá a construção planejada e obter o desempenho hidráulico e funcional esperado. A empresa executará a instalação hidráulica interna do sistema,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alpem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das obras civis (cavar, valetas, alvenarias </w:t>
      </w:r>
      <w:proofErr w:type="spell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etc</w:t>
      </w:r>
      <w:proofErr w:type="spell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) e instalações elétricas;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- 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monitoramento</w:t>
      </w:r>
      <w:proofErr w:type="gramEnd"/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: como os sistemas biológicos tomam de 3 a 6 meses para se instalarem plenamente (obter eficiência de projeto) </w:t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3"/>
        <w:gridCol w:w="3707"/>
      </w:tblGrid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Etapa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Custo (R$)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 xml:space="preserve">Projeto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2.300,00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Execução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4.500,00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Monitoramento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1.750,00</w:t>
            </w:r>
          </w:p>
        </w:tc>
      </w:tr>
      <w:tr w:rsidR="00A3679F" w:rsidRPr="003F3026" w:rsidTr="00A367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3679F" w:rsidRPr="003F3026" w:rsidRDefault="00A3679F" w:rsidP="00A3679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3F3026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8.550,00</w:t>
            </w:r>
          </w:p>
        </w:tc>
      </w:tr>
    </w:tbl>
    <w:p w:rsidR="00520F7E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Times New Roman"/>
          <w:sz w:val="24"/>
          <w:szCs w:val="24"/>
          <w:lang w:eastAsia="pt-BR"/>
        </w:rPr>
        <w:br/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Times New Roman"/>
          <w:sz w:val="24"/>
          <w:szCs w:val="24"/>
          <w:lang w:eastAsia="pt-BR"/>
        </w:rPr>
        <w:br/>
      </w:r>
      <w:r w:rsidRPr="003F3026">
        <w:rPr>
          <w:rFonts w:eastAsia="Times New Roman" w:cs="Times New Roman"/>
          <w:sz w:val="24"/>
          <w:szCs w:val="24"/>
          <w:lang w:eastAsia="pt-BR"/>
        </w:rPr>
        <w:br/>
      </w:r>
      <w:r w:rsidRPr="003F3026">
        <w:rPr>
          <w:rFonts w:eastAsia="Times New Roman" w:cs="Times New Roman"/>
          <w:sz w:val="24"/>
          <w:szCs w:val="24"/>
          <w:lang w:eastAsia="pt-BR"/>
        </w:rPr>
        <w:br/>
      </w:r>
    </w:p>
    <w:p w:rsidR="0077404C" w:rsidRPr="003F3026" w:rsidRDefault="0077404C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520F7E">
      <w:pPr>
        <w:pStyle w:val="Ttulo1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16" w:name="_Toc442868810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t>9. Referências Bibliográficas</w:t>
      </w:r>
      <w:bookmarkEnd w:id="16"/>
    </w:p>
    <w:p w:rsidR="00A3679F" w:rsidRPr="003F3026" w:rsidRDefault="00A3679F" w:rsidP="0077404C">
      <w:pPr>
        <w:spacing w:after="0" w:line="36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</w:pP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lastRenderedPageBreak/>
        <w:t xml:space="preserve">BAUMAN, Z. </w:t>
      </w:r>
      <w:r w:rsidRPr="003F3026">
        <w:rPr>
          <w:rFonts w:eastAsia="Times New Roman" w:cs="Arial"/>
          <w:i/>
          <w:color w:val="222222"/>
          <w:sz w:val="24"/>
          <w:szCs w:val="24"/>
          <w:shd w:val="clear" w:color="auto" w:fill="FFFFFF"/>
          <w:lang w:eastAsia="pt-BR"/>
        </w:rPr>
        <w:t>Modernidade líquida</w:t>
      </w: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 xml:space="preserve">. </w:t>
      </w:r>
      <w:proofErr w:type="gramStart"/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trad</w:t>
      </w:r>
      <w:proofErr w:type="gramEnd"/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 xml:space="preserve">. Plínio </w:t>
      </w:r>
      <w:proofErr w:type="spellStart"/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Dentzien</w:t>
      </w:r>
      <w:proofErr w:type="spellEnd"/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. Rio de Janeiro: Jorge Zahar Editor, 2001</w:t>
      </w:r>
    </w:p>
    <w:p w:rsidR="00520F7E" w:rsidRPr="003F3026" w:rsidRDefault="00520F7E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cs="Arial"/>
          <w:color w:val="222222"/>
          <w:sz w:val="24"/>
          <w:szCs w:val="24"/>
          <w:shd w:val="clear" w:color="auto" w:fill="FFFFFF"/>
        </w:rPr>
        <w:t xml:space="preserve">CASTELLS, M. </w:t>
      </w:r>
      <w:r w:rsidRPr="003F3026">
        <w:rPr>
          <w:rFonts w:cs="Arial"/>
          <w:i/>
          <w:iCs/>
          <w:color w:val="222222"/>
          <w:sz w:val="24"/>
          <w:szCs w:val="24"/>
          <w:shd w:val="clear" w:color="auto" w:fill="FFFFFF"/>
        </w:rPr>
        <w:t>A era da informação: economia, sociedade e cultura</w:t>
      </w:r>
      <w:r w:rsidRPr="003F3026">
        <w:rPr>
          <w:rFonts w:cs="Arial"/>
          <w:color w:val="222222"/>
          <w:sz w:val="24"/>
          <w:szCs w:val="24"/>
          <w:shd w:val="clear" w:color="auto" w:fill="FFFFFF"/>
        </w:rPr>
        <w:t>. 1999.</w:t>
      </w: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FERRARO JÚNIOR (</w:t>
      </w:r>
      <w:proofErr w:type="spellStart"/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Coord</w:t>
      </w:r>
      <w:proofErr w:type="spellEnd"/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 xml:space="preserve">). </w:t>
      </w:r>
      <w:r w:rsidRPr="003F3026">
        <w:rPr>
          <w:rFonts w:eastAsia="Times New Roman" w:cs="Arial"/>
          <w:i/>
          <w:color w:val="222222"/>
          <w:sz w:val="24"/>
          <w:szCs w:val="24"/>
          <w:shd w:val="clear" w:color="auto" w:fill="FFFFFF"/>
          <w:lang w:eastAsia="pt-BR"/>
        </w:rPr>
        <w:t>Encontros e caminhos: formação de educadoras (es) ambientais e coletivos educadores</w:t>
      </w: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. MMA, Diretoria de Educação Ambiental, 2005.</w:t>
      </w:r>
    </w:p>
    <w:p w:rsidR="00A3679F" w:rsidRPr="003F3026" w:rsidRDefault="00520F7E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LESBAUIN, I. </w:t>
      </w:r>
      <w:r w:rsidRPr="003F3026">
        <w:rPr>
          <w:rFonts w:eastAsia="Times New Roman" w:cs="Arial"/>
          <w:i/>
          <w:color w:val="000000"/>
          <w:sz w:val="24"/>
          <w:szCs w:val="24"/>
          <w:lang w:eastAsia="pt-BR"/>
        </w:rPr>
        <w:t>A sociedade do "bem viver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", 2011</w:t>
      </w: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 xml:space="preserve">LÖWY, M. ARRUDA, M., LESBAUPIN, I., GRZYBOWSKI, C., CELIBERTI, L., DURÃO, M., ... &amp; SUASSUNA, J. </w:t>
      </w:r>
      <w:r w:rsidRPr="003F3026">
        <w:rPr>
          <w:rFonts w:eastAsia="Times New Roman" w:cs="Arial"/>
          <w:i/>
          <w:color w:val="222222"/>
          <w:sz w:val="24"/>
          <w:szCs w:val="24"/>
          <w:shd w:val="clear" w:color="auto" w:fill="FFFFFF"/>
          <w:lang w:eastAsia="pt-BR"/>
        </w:rPr>
        <w:t>Por um outro desenvolvimento</w:t>
      </w: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>. 2012.</w:t>
      </w: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222222"/>
          <w:sz w:val="24"/>
          <w:szCs w:val="24"/>
          <w:shd w:val="clear" w:color="auto" w:fill="FFFFFF"/>
          <w:lang w:eastAsia="pt-BR"/>
        </w:rPr>
        <w:t xml:space="preserve">SANTOS, B. S. </w:t>
      </w:r>
      <w:r w:rsidRPr="003F3026">
        <w:rPr>
          <w:rFonts w:eastAsia="Times New Roman" w:cs="Arial"/>
          <w:i/>
          <w:color w:val="000000"/>
          <w:sz w:val="24"/>
          <w:szCs w:val="24"/>
          <w:shd w:val="clear" w:color="auto" w:fill="FFFFFF"/>
          <w:lang w:eastAsia="pt-BR"/>
        </w:rPr>
        <w:t>Globalização: fatalidade ou utopia?</w:t>
      </w: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 xml:space="preserve"> 2001</w:t>
      </w: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>_________</w:t>
      </w:r>
      <w:proofErr w:type="gramStart"/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 xml:space="preserve">_ </w:t>
      </w:r>
      <w:r w:rsidRPr="003F3026">
        <w:rPr>
          <w:rFonts w:eastAsia="Times New Roman" w:cs="Arial"/>
          <w:i/>
          <w:color w:val="000000"/>
          <w:sz w:val="24"/>
          <w:szCs w:val="24"/>
          <w:shd w:val="clear" w:color="auto" w:fill="FFFFFF"/>
          <w:lang w:eastAsia="pt-BR"/>
        </w:rPr>
        <w:t>Para</w:t>
      </w:r>
      <w:proofErr w:type="gramEnd"/>
      <w:r w:rsidRPr="003F3026">
        <w:rPr>
          <w:rFonts w:eastAsia="Times New Roman" w:cs="Arial"/>
          <w:i/>
          <w:color w:val="000000"/>
          <w:sz w:val="24"/>
          <w:szCs w:val="24"/>
          <w:shd w:val="clear" w:color="auto" w:fill="FFFFFF"/>
          <w:lang w:eastAsia="pt-BR"/>
        </w:rPr>
        <w:t xml:space="preserve"> uma sociologia das ausências e uma sociologia das emergências." Revista crítica de ciências sociais</w:t>
      </w: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>, 2002</w:t>
      </w: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>LEFF, E.; VALENZUELA, S., VIEIRA, P. F</w:t>
      </w:r>
      <w:r w:rsidRPr="003F3026">
        <w:rPr>
          <w:rFonts w:eastAsia="Times New Roman" w:cs="Arial"/>
          <w:i/>
          <w:color w:val="000000"/>
          <w:sz w:val="24"/>
          <w:szCs w:val="24"/>
          <w:shd w:val="clear" w:color="auto" w:fill="FFFFFF"/>
          <w:lang w:eastAsia="pt-BR"/>
        </w:rPr>
        <w:t>. Epistemologia ambiental</w:t>
      </w: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>. Vol. 2. São Paulo: Cortez, 2001.</w:t>
      </w:r>
    </w:p>
    <w:p w:rsidR="00A3679F" w:rsidRPr="003F3026" w:rsidRDefault="00A3679F" w:rsidP="0077404C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 xml:space="preserve">SORRENTINO, M. </w:t>
      </w:r>
      <w:r w:rsidRPr="003F3026">
        <w:rPr>
          <w:rFonts w:eastAsia="Times New Roman" w:cs="Arial"/>
          <w:i/>
          <w:color w:val="000000"/>
          <w:sz w:val="24"/>
          <w:szCs w:val="24"/>
          <w:shd w:val="clear" w:color="auto" w:fill="FFFFFF"/>
          <w:lang w:eastAsia="pt-BR"/>
        </w:rPr>
        <w:t>Educação ambiental como política pública</w:t>
      </w: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>.</w:t>
      </w:r>
      <w:r w:rsidR="00520F7E"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3F3026">
        <w:rPr>
          <w:rFonts w:eastAsia="Times New Roman" w:cs="Arial"/>
          <w:color w:val="000000"/>
          <w:sz w:val="24"/>
          <w:szCs w:val="24"/>
          <w:shd w:val="clear" w:color="auto" w:fill="FFFFFF"/>
          <w:lang w:eastAsia="pt-BR"/>
        </w:rPr>
        <w:t>Educação e Pesquisa, São Paulo, 2005</w:t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Times New Roman"/>
          <w:sz w:val="24"/>
          <w:szCs w:val="24"/>
          <w:lang w:eastAsia="pt-BR"/>
        </w:rPr>
        <w:br/>
      </w: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3F3026" w:rsidRPr="003F3026" w:rsidRDefault="003F3026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520F7E" w:rsidRPr="003F3026" w:rsidRDefault="00520F7E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pStyle w:val="Ttulo1"/>
        <w:jc w:val="center"/>
        <w:rPr>
          <w:rFonts w:asciiTheme="minorHAnsi" w:eastAsia="Times New Roman" w:hAnsiTheme="minorHAnsi" w:cs="Times New Roman"/>
          <w:sz w:val="24"/>
          <w:szCs w:val="24"/>
          <w:lang w:eastAsia="pt-BR"/>
        </w:rPr>
      </w:pPr>
      <w:bookmarkStart w:id="17" w:name="_Toc442868811"/>
      <w:r w:rsidRPr="003F3026">
        <w:rPr>
          <w:rFonts w:asciiTheme="minorHAnsi" w:eastAsia="Times New Roman" w:hAnsiTheme="minorHAnsi" w:cs="Arial"/>
          <w:b/>
          <w:bCs/>
          <w:color w:val="000000"/>
          <w:sz w:val="24"/>
          <w:szCs w:val="24"/>
          <w:lang w:eastAsia="pt-BR"/>
        </w:rPr>
        <w:lastRenderedPageBreak/>
        <w:t>ANEXO</w:t>
      </w:r>
      <w:bookmarkEnd w:id="17"/>
    </w:p>
    <w:p w:rsidR="00A3679F" w:rsidRPr="003F3026" w:rsidRDefault="00A3679F" w:rsidP="00A3679F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1. Vista externa do Espaço Educador Casa do Bem Viver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444365" cy="2940050"/>
            <wp:effectExtent l="0" t="0" r="0" b="0"/>
            <wp:docPr id="9" name="Imagem 9" descr="https://lh3.googleusercontent.com/FDHymqOnOwP6-8Fa6ImJs0tIvohvTHCboVovFTGN1S4qbWkCyOSOdgEycxcPVrKdJXka50fKF4klTX4ti3dvpUV0bt-3S7YzuR9FPFDuIbBtF-L_wyzeDexXqukRhC-Roqg3zW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FDHymqOnOwP6-8Fa6ImJs0tIvohvTHCboVovFTGN1S4qbWkCyOSOdgEycxcPVrKdJXka50fKF4klTX4ti3dvpUV0bt-3S7YzuR9FPFDuIbBtF-L_wyzeDexXqukRhC-Roqg3zW-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2. Área externa a ser adaptada com as estruturas educadoras</w:t>
      </w: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641215" cy="3067050"/>
            <wp:effectExtent l="0" t="0" r="6985" b="0"/>
            <wp:docPr id="8" name="Imagem 8" descr="https://lh5.googleusercontent.com/tot0HNQ5EoarXcf1y_xgLlSTMeFADumO0hu-ZltzDfiV1Kvtimf9KN2uPzxEv7U5RzGyNfHJ23keTywFt5xdUpHf_8NLCTcGuhFkIdok6lItJ720OxmE1MHUmm_k8aNLA-VztC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tot0HNQ5EoarXcf1y_xgLlSTMeFADumO0hu-ZltzDfiV1Kvtimf9KN2uPzxEv7U5RzGyNfHJ23keTywFt5xdUpHf_8NLCTcGuhFkIdok6lItJ720OxmE1MHUmm_k8aNLA-VztCQ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3. Visão frontal da área a ser adaptada com as estruturas educadoras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012055" cy="3310255"/>
            <wp:effectExtent l="0" t="0" r="0" b="4445"/>
            <wp:docPr id="7" name="Imagem 7" descr="https://lh3.googleusercontent.com/_bUU6jWygUyPSX6ehrY0lKjCojD7AO1AkqCIJU-PIyDnfOYiEh6p2n1wU2veSUkplNrkdnFkSeM8wattHWkoy8ljy7V2OfU5AeQE30xcjba7kGBYiCPIc-OpLVRRvUJ_q69sLO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_bUU6jWygUyPSX6ehrY0lKjCojD7AO1AkqCIJU-PIyDnfOYiEh6p2n1wU2veSUkplNrkdnFkSeM8wattHWkoy8ljy7V2OfU5AeQE30xcjba7kGBYiCPIc-OpLVRRvUJ_q69sLO4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4. Visão aproximada das paredes da cozinha, do banheiro e do tanque a serem adaptados</w:t>
      </w: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139055" cy="3402965"/>
            <wp:effectExtent l="0" t="0" r="4445" b="6985"/>
            <wp:docPr id="6" name="Imagem 6" descr="https://lh4.googleusercontent.com/2PGqKmqKCvBf-ffvmcUXrssQpoEIgQQQ9hztw0dX1QN4RHZHHDNMvaZYAp1veWAFPrVjOL1OBHBPfHxnJP78tUrKNgCd4m52lMNcPURuzmpFf1-jzokDN89xUQsl0g7YiqntzR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2PGqKmqKCvBf-ffvmcUXrssQpoEIgQQQ9hztw0dX1QN4RHZHHDNMvaZYAp1veWAFPrVjOL1OBHBPfHxnJP78tUrKNgCd4m52lMNcPURuzmpFf1-jzokDN89xUQsl0g7YiqntzRo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Figura 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>5.</w:t>
      </w:r>
      <w:r w:rsidR="003F05D6">
        <w:rPr>
          <w:rFonts w:eastAsia="Times New Roman" w:cs="Arial"/>
          <w:color w:val="000000"/>
          <w:sz w:val="24"/>
          <w:szCs w:val="24"/>
          <w:lang w:eastAsia="pt-BR"/>
        </w:rPr>
        <w:t xml:space="preserve"> 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>Cozinha que será adaptada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034915" cy="3345180"/>
            <wp:effectExtent l="0" t="0" r="0" b="7620"/>
            <wp:docPr id="5" name="Imagem 5" descr="https://lh3.googleusercontent.com/vdt2ZsfdCVQNAJ3NEqsQZo7SIpjLjaKItMfC2w-qyn9IvadD3oY3xWY-Oj7HBvggFoSjLwQucR_CF3CfwgJZgFo2J-qvSemWbTnI_UssUkJNyL2e-MeYFzQXR85saF9rlFXc3b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vdt2ZsfdCVQNAJ3NEqsQZo7SIpjLjaKItMfC2w-qyn9IvadD3oY3xWY-Oj7HBvggFoSjLwQucR_CF3CfwgJZgFo2J-qvSemWbTnI_UssUkJNyL2e-MeYFzQXR85saF9rlFXc3bJ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6</w:t>
      </w:r>
      <w:r w:rsidR="003F05D6">
        <w:rPr>
          <w:rFonts w:eastAsia="Times New Roman" w:cs="Arial"/>
          <w:color w:val="000000"/>
          <w:sz w:val="24"/>
          <w:szCs w:val="24"/>
          <w:lang w:eastAsia="pt-BR"/>
        </w:rPr>
        <w:t>.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>Banheiro a ser adaptado</w:t>
      </w:r>
    </w:p>
    <w:p w:rsidR="0077404C" w:rsidRPr="003F3026" w:rsidRDefault="0077404C" w:rsidP="0077404C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77404C">
      <w:pPr>
        <w:spacing w:after="0" w:line="240" w:lineRule="auto"/>
        <w:ind w:firstLine="19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139055" cy="3414395"/>
            <wp:effectExtent l="0" t="0" r="4445" b="0"/>
            <wp:docPr id="4" name="Imagem 4" descr="https://lh4.googleusercontent.com/E47Fg86aPaqesg7ZVXkFNZ7UnQiQs2QoHfHC4Tma0zsjlY97Cv8tnYZhc20Jdx3nEDH7AgMFgih4EM7AFFkahqtucPXPobbAogAhtzIR6dv7pezbOz-afz-DNPc242j-uqWkUZ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E47Fg86aPaqesg7ZVXkFNZ7UnQiQs2QoHfHC4Tma0zsjlY97Cv8tnYZhc20Jdx3nEDH7AgMFgih4EM7AFFkahqtucPXPobbAogAhtzIR6dv7pezbOz-afz-DNPc242j-uqWkUZN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Figura 7. 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>Área que receberá a água limpa dos sistemas de tratamento</w:t>
      </w: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243195" cy="3472180"/>
            <wp:effectExtent l="0" t="0" r="0" b="0"/>
            <wp:docPr id="3" name="Imagem 3" descr="https://lh3.googleusercontent.com/Lx7iyemax2K9S0bDCJ9YiZ6n9d61t5Py5ltw6clN02pErC6a1oDljRddBBkV9yWHr4_PgQDCq-9_Pzt2gPpgY6aHXtU1GKnv5HTWNUEqH4BUv2XVZCVAbhLEzvdl-qLi1O3bIV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Lx7iyemax2K9S0bDCJ9YiZ6n9d61t5Py5ltw6clN02pErC6a1oDljRddBBkV9yWHr4_PgQDCq-9_Pzt2gPpgY6aHXtU1GKnv5HTWNUEqH4BUv2XVZCVAbhLEzvdl-qLi1O3bIV1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77404C" w:rsidRPr="003F3026" w:rsidRDefault="0077404C" w:rsidP="00A3679F">
      <w:pPr>
        <w:spacing w:after="0" w:line="240" w:lineRule="auto"/>
        <w:ind w:firstLine="720"/>
        <w:rPr>
          <w:rFonts w:eastAsia="Times New Roman" w:cs="Arial"/>
          <w:color w:val="000000"/>
          <w:sz w:val="24"/>
          <w:szCs w:val="24"/>
          <w:lang w:eastAsia="pt-BR"/>
        </w:rPr>
      </w:pPr>
    </w:p>
    <w:p w:rsidR="00A3679F" w:rsidRPr="003F3026" w:rsidRDefault="00A3679F" w:rsidP="003F05D6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8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: </w:t>
      </w:r>
      <w:r w:rsidR="0077404C" w:rsidRPr="003F3026">
        <w:rPr>
          <w:rFonts w:eastAsia="Times New Roman" w:cs="Arial"/>
          <w:color w:val="000000"/>
          <w:sz w:val="24"/>
          <w:szCs w:val="24"/>
          <w:lang w:eastAsia="pt-BR"/>
        </w:rPr>
        <w:t>Área de experimentação que receberá irrigação das estruturas.</w:t>
      </w: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 xml:space="preserve"> </w:t>
      </w:r>
      <w:bookmarkStart w:id="18" w:name="_GoBack"/>
      <w:bookmarkEnd w:id="18"/>
    </w:p>
    <w:p w:rsidR="00A3679F" w:rsidRPr="003F3026" w:rsidRDefault="00A3679F" w:rsidP="00A3679F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289550" cy="3507105"/>
            <wp:effectExtent l="0" t="0" r="6350" b="0"/>
            <wp:docPr id="2" name="Imagem 2" descr="https://lh4.googleusercontent.com/Wqe_6tPy1VF9M_AgYbKbnvfhOWcWqtlhRsKUL8bMBBLEbIn7QSUaetxyVS_-zr3pXnLFkW5_tz78D7IBVPiCWK0i4gWO9whiWs2BcAventrtrXCDNb-Y77IB-YjvDF4cWOzN_s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Wqe_6tPy1VF9M_AgYbKbnvfhOWcWqtlhRsKUL8bMBBLEbIn7QSUaetxyVS_-zr3pXnLFkW5_tz78D7IBVPiCWK0i4gWO9whiWs2BcAventrtrXCDNb-Y77IB-YjvDF4cWOzN_sq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9F" w:rsidRPr="003F3026" w:rsidRDefault="00A3679F" w:rsidP="00A3679F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A3679F" w:rsidRPr="003F3026" w:rsidRDefault="00A3679F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10130" cy="3518704"/>
            <wp:effectExtent l="0" t="0" r="5080" b="5715"/>
            <wp:docPr id="1" name="Imagem 1" descr="https://lh3.googleusercontent.com/hWxGuUCjZYYc90CpQNytMD_c7bM71P5N59kYXvCyM8AuyZU23G-5hkt1Miz7udvSSB8OQjW2d2gUQxYlQdh2zjYKKe91G-9WxH3X4lYqC_Q1JeUU-GJnfsnr1vEb5Va1K2Y1jm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hWxGuUCjZYYc90CpQNytMD_c7bM71P5N59kYXvCyM8AuyZU23G-5hkt1Miz7udvSSB8OQjW2d2gUQxYlQdh2zjYKKe91G-9WxH3X4lYqC_Q1JeUU-GJnfsnr1vEb5Va1K2Y1jmZ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68" cy="35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9F" w:rsidRPr="003F3026" w:rsidRDefault="0077404C" w:rsidP="00A3679F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3F3026">
        <w:rPr>
          <w:rFonts w:eastAsia="Times New Roman" w:cs="Arial"/>
          <w:color w:val="000000"/>
          <w:sz w:val="24"/>
          <w:szCs w:val="24"/>
          <w:lang w:eastAsia="pt-BR"/>
        </w:rPr>
        <w:t>Figura 9</w:t>
      </w:r>
      <w:r w:rsidR="00A3679F" w:rsidRPr="003F3026">
        <w:rPr>
          <w:rFonts w:eastAsia="Times New Roman" w:cs="Arial"/>
          <w:color w:val="000000"/>
          <w:sz w:val="24"/>
          <w:szCs w:val="24"/>
          <w:lang w:eastAsia="pt-BR"/>
        </w:rPr>
        <w:t>. Paisagem em processo de regeneração florestal aos fundos do Espaço Educador</w:t>
      </w:r>
    </w:p>
    <w:p w:rsidR="00010CF2" w:rsidRPr="003F3026" w:rsidRDefault="00010CF2">
      <w:pPr>
        <w:rPr>
          <w:sz w:val="24"/>
          <w:szCs w:val="24"/>
        </w:rPr>
      </w:pPr>
    </w:p>
    <w:sectPr w:rsidR="00010CF2" w:rsidRPr="003F3026" w:rsidSect="00520F7E">
      <w:headerReference w:type="default" r:id="rId17"/>
      <w:headerReference w:type="first" r:id="rId1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588" w:rsidRDefault="008C5588" w:rsidP="00A3679F">
      <w:pPr>
        <w:spacing w:after="0" w:line="240" w:lineRule="auto"/>
      </w:pPr>
      <w:r>
        <w:separator/>
      </w:r>
    </w:p>
  </w:endnote>
  <w:endnote w:type="continuationSeparator" w:id="0">
    <w:p w:rsidR="008C5588" w:rsidRDefault="008C5588" w:rsidP="00A36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588" w:rsidRDefault="008C5588" w:rsidP="00A3679F">
      <w:pPr>
        <w:spacing w:after="0" w:line="240" w:lineRule="auto"/>
      </w:pPr>
      <w:r>
        <w:separator/>
      </w:r>
    </w:p>
  </w:footnote>
  <w:footnote w:type="continuationSeparator" w:id="0">
    <w:p w:rsidR="008C5588" w:rsidRDefault="008C5588" w:rsidP="00A36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0690971"/>
      <w:docPartObj>
        <w:docPartGallery w:val="Page Numbers (Top of Page)"/>
        <w:docPartUnique/>
      </w:docPartObj>
    </w:sdtPr>
    <w:sdtContent>
      <w:p w:rsidR="00520F7E" w:rsidRDefault="00520F7E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5D6">
          <w:rPr>
            <w:noProof/>
          </w:rPr>
          <w:t>18</w:t>
        </w:r>
        <w:r>
          <w:fldChar w:fldCharType="end"/>
        </w:r>
      </w:p>
    </w:sdtContent>
  </w:sdt>
  <w:p w:rsidR="00520F7E" w:rsidRDefault="00520F7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04C" w:rsidRPr="0047119E" w:rsidRDefault="0077404C" w:rsidP="0077404C">
    <w:pPr>
      <w:autoSpaceDE w:val="0"/>
      <w:autoSpaceDN w:val="0"/>
      <w:adjustRightInd w:val="0"/>
      <w:jc w:val="center"/>
      <w:rPr>
        <w:rFonts w:ascii="Times New Roman" w:hAnsi="Times New Roman"/>
        <w:color w:val="000000"/>
      </w:rPr>
    </w:pPr>
    <w:r>
      <w:rPr>
        <w:rFonts w:ascii="Times New Roman" w:hAnsi="Times New Roman"/>
        <w:noProof/>
        <w:color w:val="000000"/>
      </w:rPr>
      <w:drawing>
        <wp:anchor distT="0" distB="0" distL="114300" distR="114300" simplePos="0" relativeHeight="251659264" behindDoc="0" locked="0" layoutInCell="1" allowOverlap="1" wp14:anchorId="2C3CB98D" wp14:editId="30A72918">
          <wp:simplePos x="0" y="0"/>
          <wp:positionH relativeFrom="page">
            <wp:posOffset>6304412</wp:posOffset>
          </wp:positionH>
          <wp:positionV relativeFrom="paragraph">
            <wp:posOffset>21110</wp:posOffset>
          </wp:positionV>
          <wp:extent cx="762000" cy="340360"/>
          <wp:effectExtent l="0" t="0" r="0" b="2540"/>
          <wp:wrapNone/>
          <wp:docPr id="14" name="Imagem 14" descr="logoUsp jpg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Usp jpg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4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119E">
      <w:rPr>
        <w:rFonts w:ascii="Times New Roman" w:hAnsi="Times New Roman"/>
        <w:color w:val="000000"/>
      </w:rPr>
      <w:t>UNIVERSIDADE DE SÃO PAULO</w:t>
    </w:r>
  </w:p>
  <w:p w:rsidR="0077404C" w:rsidRPr="0047119E" w:rsidRDefault="0077404C" w:rsidP="0077404C">
    <w:pPr>
      <w:autoSpaceDE w:val="0"/>
      <w:autoSpaceDN w:val="0"/>
      <w:adjustRightInd w:val="0"/>
      <w:jc w:val="center"/>
      <w:rPr>
        <w:rFonts w:ascii="Times New Roman" w:hAnsi="Times New Roman"/>
        <w:color w:val="000000"/>
        <w:sz w:val="17"/>
        <w:szCs w:val="18"/>
      </w:rPr>
    </w:pPr>
    <w:r w:rsidRPr="0047119E">
      <w:rPr>
        <w:rFonts w:ascii="Times New Roman" w:hAnsi="Times New Roman"/>
        <w:color w:val="000000"/>
        <w:sz w:val="17"/>
        <w:szCs w:val="18"/>
      </w:rPr>
      <w:t>ESCOLA SUPERIOR DE AGRICULTURA “LUIZ DE QUEIROZ”</w:t>
    </w:r>
  </w:p>
  <w:p w:rsidR="0077404C" w:rsidRDefault="0077404C" w:rsidP="0077404C">
    <w:pPr>
      <w:pStyle w:val="Cabealho"/>
      <w:ind w:firstLine="2551"/>
      <w:jc w:val="center"/>
    </w:pPr>
  </w:p>
  <w:p w:rsidR="0077404C" w:rsidRDefault="0077404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7460"/>
    <w:multiLevelType w:val="hybridMultilevel"/>
    <w:tmpl w:val="724E7E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D0B37"/>
    <w:multiLevelType w:val="multilevel"/>
    <w:tmpl w:val="C1DC9A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7263EEE"/>
    <w:multiLevelType w:val="multilevel"/>
    <w:tmpl w:val="E6FE3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3331DC"/>
    <w:multiLevelType w:val="multilevel"/>
    <w:tmpl w:val="08D647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F774E8"/>
    <w:multiLevelType w:val="multilevel"/>
    <w:tmpl w:val="73CA65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4E840AC"/>
    <w:multiLevelType w:val="multilevel"/>
    <w:tmpl w:val="703648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41329A2"/>
    <w:multiLevelType w:val="multilevel"/>
    <w:tmpl w:val="F2925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A13BD4"/>
    <w:multiLevelType w:val="multilevel"/>
    <w:tmpl w:val="F1EC93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5F29CD"/>
    <w:multiLevelType w:val="multilevel"/>
    <w:tmpl w:val="8AE4E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403338"/>
    <w:multiLevelType w:val="multilevel"/>
    <w:tmpl w:val="4EF0E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3D28FE"/>
    <w:multiLevelType w:val="multilevel"/>
    <w:tmpl w:val="A9E2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  <w:lvlOverride w:ilvl="0">
      <w:lvl w:ilvl="0">
        <w:numFmt w:val="decimal"/>
        <w:lvlText w:val="%1."/>
        <w:lvlJc w:val="left"/>
      </w:lvl>
    </w:lvlOverride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lowerLetter"/>
        <w:lvlText w:val="%1."/>
        <w:lvlJc w:val="left"/>
      </w:lvl>
    </w:lvlOverride>
  </w:num>
  <w:num w:numId="6">
    <w:abstractNumId w:val="6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9F"/>
    <w:rsid w:val="00010CF2"/>
    <w:rsid w:val="003F05D6"/>
    <w:rsid w:val="003F3026"/>
    <w:rsid w:val="00520F7E"/>
    <w:rsid w:val="0077404C"/>
    <w:rsid w:val="008C5588"/>
    <w:rsid w:val="00A3679F"/>
    <w:rsid w:val="00F920B5"/>
    <w:rsid w:val="00F9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55A69E-2B38-486A-BE76-CD50E6FB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367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20F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0F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36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79F"/>
  </w:style>
  <w:style w:type="paragraph" w:styleId="Rodap">
    <w:name w:val="footer"/>
    <w:basedOn w:val="Normal"/>
    <w:link w:val="RodapChar"/>
    <w:uiPriority w:val="99"/>
    <w:unhideWhenUsed/>
    <w:rsid w:val="00A36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79F"/>
  </w:style>
  <w:style w:type="paragraph" w:styleId="PargrafodaLista">
    <w:name w:val="List Paragraph"/>
    <w:basedOn w:val="Normal"/>
    <w:uiPriority w:val="34"/>
    <w:qFormat/>
    <w:rsid w:val="00A3679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367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3679F"/>
    <w:pPr>
      <w:outlineLvl w:val="9"/>
    </w:pPr>
    <w:rPr>
      <w:lang w:eastAsia="pt-BR"/>
    </w:rPr>
  </w:style>
  <w:style w:type="character" w:customStyle="1" w:styleId="apple-converted-space">
    <w:name w:val="apple-converted-space"/>
    <w:basedOn w:val="Fontepargpadro"/>
    <w:rsid w:val="00520F7E"/>
  </w:style>
  <w:style w:type="paragraph" w:styleId="Sumrio1">
    <w:name w:val="toc 1"/>
    <w:basedOn w:val="Normal"/>
    <w:next w:val="Normal"/>
    <w:autoRedefine/>
    <w:uiPriority w:val="39"/>
    <w:unhideWhenUsed/>
    <w:rsid w:val="00520F7E"/>
    <w:pPr>
      <w:spacing w:after="100"/>
    </w:pPr>
  </w:style>
  <w:style w:type="character" w:styleId="Hyperlink">
    <w:name w:val="Hyperlink"/>
    <w:basedOn w:val="Fontepargpadro"/>
    <w:uiPriority w:val="99"/>
    <w:unhideWhenUsed/>
    <w:rsid w:val="00520F7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20F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0F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520F7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520F7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22907">
          <w:marLeft w:val="-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081">
          <w:marLeft w:val="-5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977">
          <w:marLeft w:val="-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4E"/>
    <w:rsid w:val="006D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3A1338605B24501B26CE903E886D4BB">
    <w:name w:val="73A1338605B24501B26CE903E886D4BB"/>
    <w:rsid w:val="006D46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DA19A-23C2-440D-A03A-6FC78D1C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3410</Words>
  <Characters>18419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NACE PTECA</dc:creator>
  <cp:keywords/>
  <dc:description/>
  <cp:lastModifiedBy>NACE PTECA</cp:lastModifiedBy>
  <cp:revision>5</cp:revision>
  <dcterms:created xsi:type="dcterms:W3CDTF">2016-02-10T13:39:00Z</dcterms:created>
  <dcterms:modified xsi:type="dcterms:W3CDTF">2016-02-10T14:14:00Z</dcterms:modified>
</cp:coreProperties>
</file>