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14CD7" w14:textId="77777777" w:rsidR="00B46F0C" w:rsidRDefault="00D76371" w:rsidP="00B46F0C">
      <w:pPr>
        <w:pStyle w:val="Title"/>
        <w:rPr>
          <w:lang w:val="pt-BR"/>
        </w:rPr>
      </w:pPr>
      <w:r>
        <w:rPr>
          <w:lang w:val="pt-BR"/>
        </w:rPr>
        <w:t>Formulário para Submissão de</w:t>
      </w:r>
      <w:r w:rsidR="007D09DE">
        <w:rPr>
          <w:lang w:val="pt-BR"/>
        </w:rPr>
        <w:t xml:space="preserve"> </w:t>
      </w:r>
      <w:r w:rsidR="00B842B8">
        <w:rPr>
          <w:lang w:val="pt-BR"/>
        </w:rPr>
        <w:t xml:space="preserve">Propostas de </w:t>
      </w:r>
      <w:r w:rsidR="007D09DE">
        <w:rPr>
          <w:lang w:val="pt-BR"/>
        </w:rPr>
        <w:t>Projetos de Pesquisa</w:t>
      </w:r>
      <w:r>
        <w:rPr>
          <w:lang w:val="pt-BR"/>
        </w:rPr>
        <w:t xml:space="preserve"> ao Comitê de Revisão Científica</w:t>
      </w:r>
    </w:p>
    <w:p w14:paraId="787D8D33" w14:textId="77777777" w:rsidR="00FA17D6" w:rsidRPr="0050792F" w:rsidRDefault="00FA17D6">
      <w:pPr>
        <w:rPr>
          <w:sz w:val="16"/>
          <w:szCs w:val="1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7812"/>
      </w:tblGrid>
      <w:tr w:rsidR="00B842B8" w:rsidRPr="000D3D4D" w14:paraId="7F022CD7" w14:textId="77777777" w:rsidTr="00B842B8">
        <w:tc>
          <w:tcPr>
            <w:tcW w:w="10415" w:type="dxa"/>
            <w:gridSpan w:val="2"/>
            <w:shd w:val="clear" w:color="auto" w:fill="D9D9D9" w:themeFill="background1" w:themeFillShade="D9"/>
          </w:tcPr>
          <w:p w14:paraId="039ED29B" w14:textId="77777777" w:rsidR="00B842B8" w:rsidRPr="00B842B8" w:rsidRDefault="00B842B8" w:rsidP="00222AD1">
            <w:pPr>
              <w:spacing w:before="120" w:after="120"/>
              <w:rPr>
                <w:b/>
                <w:i/>
                <w:lang w:val="pt-BR"/>
              </w:rPr>
            </w:pPr>
            <w:r w:rsidRPr="00B842B8">
              <w:rPr>
                <w:b/>
                <w:i/>
                <w:lang w:val="pt-BR"/>
              </w:rPr>
              <w:t>Dados gerais</w:t>
            </w:r>
          </w:p>
        </w:tc>
      </w:tr>
      <w:tr w:rsidR="00222AD1" w:rsidRPr="000D3D4D" w14:paraId="11F29CED" w14:textId="77777777" w:rsidTr="00222AD1">
        <w:tc>
          <w:tcPr>
            <w:tcW w:w="2603" w:type="dxa"/>
            <w:shd w:val="clear" w:color="auto" w:fill="auto"/>
          </w:tcPr>
          <w:p w14:paraId="117F3E93" w14:textId="77777777" w:rsidR="00222AD1" w:rsidRPr="00222AD1" w:rsidRDefault="00222AD1" w:rsidP="000D3D4D">
            <w:pPr>
              <w:spacing w:before="120" w:after="120"/>
              <w:rPr>
                <w:b/>
                <w:lang w:val="pt-BR"/>
              </w:rPr>
            </w:pPr>
            <w:r w:rsidRPr="00222AD1">
              <w:rPr>
                <w:b/>
                <w:lang w:val="pt-BR"/>
              </w:rPr>
              <w:t>Título da proposta</w:t>
            </w:r>
          </w:p>
        </w:tc>
        <w:tc>
          <w:tcPr>
            <w:tcW w:w="7812" w:type="dxa"/>
            <w:shd w:val="clear" w:color="auto" w:fill="auto"/>
          </w:tcPr>
          <w:p w14:paraId="59905AA7" w14:textId="77777777" w:rsidR="00222AD1" w:rsidRPr="000D3D4D" w:rsidRDefault="00222AD1" w:rsidP="00222AD1">
            <w:pPr>
              <w:spacing w:before="120" w:after="120"/>
              <w:rPr>
                <w:lang w:val="pt-BR"/>
              </w:rPr>
            </w:pPr>
          </w:p>
        </w:tc>
      </w:tr>
      <w:tr w:rsidR="00222AD1" w:rsidRPr="000D3D4D" w14:paraId="55F53453" w14:textId="77777777" w:rsidTr="00222AD1">
        <w:tc>
          <w:tcPr>
            <w:tcW w:w="2603" w:type="dxa"/>
            <w:shd w:val="clear" w:color="auto" w:fill="auto"/>
          </w:tcPr>
          <w:p w14:paraId="237AE4ED" w14:textId="77777777" w:rsidR="00222AD1" w:rsidRPr="00222AD1" w:rsidRDefault="00222AD1" w:rsidP="00622F3D">
            <w:pPr>
              <w:spacing w:before="120" w:after="120"/>
              <w:rPr>
                <w:b/>
                <w:lang w:val="pt-BR"/>
              </w:rPr>
            </w:pPr>
            <w:r w:rsidRPr="00222AD1">
              <w:rPr>
                <w:b/>
                <w:lang w:val="pt-BR"/>
              </w:rPr>
              <w:t xml:space="preserve">Pesquisador </w:t>
            </w:r>
            <w:r w:rsidR="00622F3D">
              <w:rPr>
                <w:b/>
                <w:lang w:val="pt-BR"/>
              </w:rPr>
              <w:t>principal</w:t>
            </w:r>
          </w:p>
        </w:tc>
        <w:tc>
          <w:tcPr>
            <w:tcW w:w="7812" w:type="dxa"/>
            <w:shd w:val="clear" w:color="auto" w:fill="auto"/>
          </w:tcPr>
          <w:p w14:paraId="3CAD0DBF" w14:textId="77777777" w:rsidR="00222AD1" w:rsidRPr="000D3D4D" w:rsidRDefault="00222AD1" w:rsidP="00222AD1">
            <w:pPr>
              <w:spacing w:before="120" w:after="120"/>
              <w:rPr>
                <w:lang w:val="pt-BR"/>
              </w:rPr>
            </w:pPr>
          </w:p>
        </w:tc>
      </w:tr>
      <w:tr w:rsidR="00222AD1" w:rsidRPr="000D3D4D" w14:paraId="0D5B4C6A" w14:textId="77777777" w:rsidTr="00222AD1">
        <w:tc>
          <w:tcPr>
            <w:tcW w:w="2603" w:type="dxa"/>
            <w:shd w:val="clear" w:color="auto" w:fill="auto"/>
          </w:tcPr>
          <w:p w14:paraId="3AE5291F" w14:textId="77777777" w:rsidR="00222AD1" w:rsidRPr="00222AD1" w:rsidRDefault="00222AD1" w:rsidP="000D3D4D">
            <w:pPr>
              <w:spacing w:before="120" w:after="120"/>
              <w:rPr>
                <w:b/>
                <w:lang w:val="pt-BR"/>
              </w:rPr>
            </w:pPr>
            <w:r w:rsidRPr="00222AD1">
              <w:rPr>
                <w:b/>
                <w:lang w:val="pt-BR"/>
              </w:rPr>
              <w:t>Pesquisadores associados</w:t>
            </w:r>
          </w:p>
        </w:tc>
        <w:tc>
          <w:tcPr>
            <w:tcW w:w="7812" w:type="dxa"/>
            <w:shd w:val="clear" w:color="auto" w:fill="auto"/>
          </w:tcPr>
          <w:p w14:paraId="0467635B" w14:textId="77777777" w:rsidR="00222AD1" w:rsidRPr="000D3D4D" w:rsidRDefault="00222AD1" w:rsidP="000D3D4D">
            <w:pPr>
              <w:spacing w:before="120" w:after="120"/>
              <w:rPr>
                <w:lang w:val="pt-BR"/>
              </w:rPr>
            </w:pPr>
          </w:p>
        </w:tc>
      </w:tr>
      <w:tr w:rsidR="00B842B8" w:rsidRPr="000D3D4D" w14:paraId="4AD95E14" w14:textId="77777777" w:rsidTr="00B842B8">
        <w:tc>
          <w:tcPr>
            <w:tcW w:w="10415" w:type="dxa"/>
            <w:gridSpan w:val="2"/>
            <w:shd w:val="clear" w:color="auto" w:fill="D9D9D9" w:themeFill="background1" w:themeFillShade="D9"/>
          </w:tcPr>
          <w:p w14:paraId="028F3463" w14:textId="77777777" w:rsidR="00B842B8" w:rsidRPr="00B842B8" w:rsidRDefault="00B842B8" w:rsidP="000D3D4D">
            <w:pPr>
              <w:spacing w:before="120" w:after="120"/>
              <w:rPr>
                <w:b/>
                <w:i/>
                <w:lang w:val="pt-BR"/>
              </w:rPr>
            </w:pPr>
            <w:r w:rsidRPr="00B842B8">
              <w:rPr>
                <w:b/>
                <w:i/>
                <w:lang w:val="pt-BR"/>
              </w:rPr>
              <w:t>Introdução</w:t>
            </w:r>
          </w:p>
        </w:tc>
      </w:tr>
      <w:tr w:rsidR="00222AD1" w:rsidRPr="00C23543" w14:paraId="2523A4BE" w14:textId="77777777" w:rsidTr="00222AD1">
        <w:tc>
          <w:tcPr>
            <w:tcW w:w="2603" w:type="dxa"/>
            <w:shd w:val="clear" w:color="auto" w:fill="auto"/>
          </w:tcPr>
          <w:p w14:paraId="0FFB143D" w14:textId="77777777" w:rsidR="00222AD1" w:rsidRPr="00222AD1" w:rsidRDefault="00222AD1" w:rsidP="00622F3D">
            <w:pPr>
              <w:spacing w:before="120" w:after="120"/>
              <w:rPr>
                <w:b/>
                <w:lang w:val="pt-BR"/>
              </w:rPr>
            </w:pPr>
            <w:r w:rsidRPr="00222AD1">
              <w:rPr>
                <w:b/>
                <w:lang w:val="pt-BR"/>
              </w:rPr>
              <w:t xml:space="preserve">Questão </w:t>
            </w:r>
            <w:r w:rsidR="00622F3D">
              <w:rPr>
                <w:b/>
                <w:lang w:val="pt-BR"/>
              </w:rPr>
              <w:t>do</w:t>
            </w:r>
            <w:r w:rsidRPr="00222AD1">
              <w:rPr>
                <w:b/>
                <w:lang w:val="pt-BR"/>
              </w:rPr>
              <w:t xml:space="preserve"> estudo</w:t>
            </w:r>
          </w:p>
        </w:tc>
        <w:tc>
          <w:tcPr>
            <w:tcW w:w="7812" w:type="dxa"/>
            <w:shd w:val="clear" w:color="auto" w:fill="auto"/>
          </w:tcPr>
          <w:p w14:paraId="2E443304" w14:textId="77777777" w:rsidR="00765528" w:rsidRDefault="00765528" w:rsidP="000D3D4D">
            <w:pPr>
              <w:spacing w:before="120" w:after="120"/>
              <w:rPr>
                <w:lang w:val="pt-BR"/>
              </w:rPr>
            </w:pPr>
            <w:r>
              <w:rPr>
                <w:lang w:val="pt-BR"/>
              </w:rPr>
              <w:t>Colocar sempre em forma de pergunta. Exemplo:</w:t>
            </w:r>
          </w:p>
          <w:p w14:paraId="0965E58A" w14:textId="77777777" w:rsidR="00222AD1" w:rsidRPr="000D3D4D" w:rsidRDefault="00222AD1" w:rsidP="000D3D4D">
            <w:pPr>
              <w:spacing w:before="120" w:after="120"/>
              <w:rPr>
                <w:lang w:val="pt-BR"/>
              </w:rPr>
            </w:pPr>
            <w:r>
              <w:rPr>
                <w:lang w:val="pt-BR"/>
              </w:rPr>
              <w:t>Como a circulação extracorpórea afeta o metabolismo da vitamina D em lactentes submetidos a cirurgia para correção de cardiopatias congênitas?</w:t>
            </w:r>
          </w:p>
        </w:tc>
      </w:tr>
      <w:tr w:rsidR="00222AD1" w:rsidRPr="00C23543" w14:paraId="71B8249D" w14:textId="77777777" w:rsidTr="00222AD1">
        <w:tc>
          <w:tcPr>
            <w:tcW w:w="2603" w:type="dxa"/>
            <w:shd w:val="clear" w:color="auto" w:fill="auto"/>
          </w:tcPr>
          <w:p w14:paraId="6373DD0C" w14:textId="77777777" w:rsidR="00222AD1" w:rsidRPr="00222AD1" w:rsidRDefault="00222AD1" w:rsidP="00622F3D">
            <w:pPr>
              <w:spacing w:before="120" w:after="120"/>
              <w:rPr>
                <w:b/>
                <w:lang w:val="pt-BR"/>
              </w:rPr>
            </w:pPr>
            <w:r w:rsidRPr="00222AD1">
              <w:rPr>
                <w:b/>
                <w:lang w:val="pt-BR"/>
              </w:rPr>
              <w:t xml:space="preserve">Contexto e </w:t>
            </w:r>
            <w:r w:rsidR="00622F3D">
              <w:rPr>
                <w:b/>
                <w:lang w:val="pt-BR"/>
              </w:rPr>
              <w:t>justificativa</w:t>
            </w:r>
          </w:p>
        </w:tc>
        <w:tc>
          <w:tcPr>
            <w:tcW w:w="7812" w:type="dxa"/>
            <w:shd w:val="clear" w:color="auto" w:fill="auto"/>
          </w:tcPr>
          <w:p w14:paraId="6EF3EEE5" w14:textId="77777777" w:rsidR="00765528" w:rsidRPr="00765528" w:rsidRDefault="00765528" w:rsidP="00765528">
            <w:pPr>
              <w:spacing w:before="120" w:after="120"/>
              <w:rPr>
                <w:lang w:val="pt-BR"/>
              </w:rPr>
            </w:pPr>
            <w:r>
              <w:rPr>
                <w:lang w:val="pt-BR"/>
              </w:rPr>
              <w:t>Colocar frases curtas e objetivas com o que é necessário saber para entender o contexto e a necessidade do estudo. Exemplo:</w:t>
            </w:r>
          </w:p>
          <w:p w14:paraId="1F20C9B8" w14:textId="77777777" w:rsidR="00222AD1" w:rsidRDefault="00222AD1" w:rsidP="00222AD1">
            <w:pPr>
              <w:pStyle w:val="ListParagraph"/>
              <w:numPr>
                <w:ilvl w:val="0"/>
                <w:numId w:val="9"/>
              </w:numPr>
              <w:spacing w:before="120" w:after="120"/>
              <w:ind w:left="374"/>
              <w:rPr>
                <w:lang w:val="pt-BR"/>
              </w:rPr>
            </w:pPr>
            <w:r>
              <w:rPr>
                <w:lang w:val="pt-BR"/>
              </w:rPr>
              <w:t xml:space="preserve">A deficiência de vitamina D </w:t>
            </w:r>
            <w:r w:rsidR="00E00960">
              <w:rPr>
                <w:lang w:val="pt-BR"/>
              </w:rPr>
              <w:t>(</w:t>
            </w:r>
            <w:proofErr w:type="spellStart"/>
            <w:r w:rsidR="00E00960">
              <w:rPr>
                <w:lang w:val="pt-BR"/>
              </w:rPr>
              <w:t>VitD</w:t>
            </w:r>
            <w:proofErr w:type="spellEnd"/>
            <w:r w:rsidR="00E00960">
              <w:rPr>
                <w:lang w:val="pt-BR"/>
              </w:rPr>
              <w:t xml:space="preserve">) </w:t>
            </w:r>
            <w:r>
              <w:rPr>
                <w:lang w:val="pt-BR"/>
              </w:rPr>
              <w:t>é comum em neonatos saudáveis, na população geral e em adultos criticamente enfermos, e tem sido associada a maior mortalidade nos dois últimos grupos (1-5).</w:t>
            </w:r>
          </w:p>
          <w:p w14:paraId="47E75B81" w14:textId="77777777" w:rsidR="00222AD1" w:rsidRDefault="00222AD1" w:rsidP="00222AD1">
            <w:pPr>
              <w:pStyle w:val="ListParagraph"/>
              <w:numPr>
                <w:ilvl w:val="0"/>
                <w:numId w:val="9"/>
              </w:numPr>
              <w:spacing w:before="120" w:after="120"/>
              <w:ind w:left="374"/>
              <w:rPr>
                <w:lang w:val="pt-BR"/>
              </w:rPr>
            </w:pPr>
            <w:r>
              <w:rPr>
                <w:lang w:val="pt-BR"/>
              </w:rPr>
              <w:t xml:space="preserve">A </w:t>
            </w:r>
            <w:proofErr w:type="spellStart"/>
            <w:r w:rsidR="00E00960">
              <w:rPr>
                <w:lang w:val="pt-BR"/>
              </w:rPr>
              <w:t>VitD</w:t>
            </w:r>
            <w:proofErr w:type="spellEnd"/>
            <w:r>
              <w:rPr>
                <w:lang w:val="pt-BR"/>
              </w:rPr>
              <w:t xml:space="preserve"> possui diversas funções em humanos, incluindo a manutenção da homeostase do cálcio e do fosforo e a mineralização óssea (1).</w:t>
            </w:r>
          </w:p>
          <w:p w14:paraId="11AE3E88" w14:textId="77777777" w:rsidR="00222AD1" w:rsidRDefault="00222AD1" w:rsidP="00222AD1">
            <w:pPr>
              <w:pStyle w:val="ListParagraph"/>
              <w:numPr>
                <w:ilvl w:val="0"/>
                <w:numId w:val="9"/>
              </w:numPr>
              <w:spacing w:before="120" w:after="120"/>
              <w:ind w:left="374"/>
              <w:rPr>
                <w:lang w:val="pt-BR"/>
              </w:rPr>
            </w:pPr>
            <w:r>
              <w:rPr>
                <w:lang w:val="pt-BR"/>
              </w:rPr>
              <w:t xml:space="preserve">Dados recentes sugerem que a </w:t>
            </w:r>
            <w:proofErr w:type="spellStart"/>
            <w:r w:rsidR="00E00960">
              <w:rPr>
                <w:lang w:val="pt-BR"/>
              </w:rPr>
              <w:t>VitD</w:t>
            </w:r>
            <w:proofErr w:type="spellEnd"/>
            <w:r>
              <w:rPr>
                <w:lang w:val="pt-BR"/>
              </w:rPr>
              <w:t xml:space="preserve"> também desempenha papel </w:t>
            </w:r>
            <w:r w:rsidR="00E00960">
              <w:rPr>
                <w:lang w:val="pt-BR"/>
              </w:rPr>
              <w:t>importante na função miocárdica e</w:t>
            </w:r>
            <w:r>
              <w:rPr>
                <w:lang w:val="pt-BR"/>
              </w:rPr>
              <w:t xml:space="preserve"> muscular esquelética, na regulação do sistema reni</w:t>
            </w:r>
            <w:r w:rsidR="00E00960">
              <w:rPr>
                <w:lang w:val="pt-BR"/>
              </w:rPr>
              <w:t xml:space="preserve">na-angiotensina e </w:t>
            </w:r>
            <w:r>
              <w:rPr>
                <w:lang w:val="pt-BR"/>
              </w:rPr>
              <w:t>na imunidade celular, com atividade anti-inflamatória (3).</w:t>
            </w:r>
          </w:p>
          <w:p w14:paraId="64A192A3" w14:textId="77777777" w:rsidR="00222AD1" w:rsidRDefault="00222AD1" w:rsidP="00222AD1">
            <w:pPr>
              <w:pStyle w:val="ListParagraph"/>
              <w:numPr>
                <w:ilvl w:val="0"/>
                <w:numId w:val="9"/>
              </w:numPr>
              <w:spacing w:before="120" w:after="120"/>
              <w:ind w:left="374"/>
              <w:rPr>
                <w:lang w:val="pt-BR"/>
              </w:rPr>
            </w:pPr>
            <w:r>
              <w:rPr>
                <w:lang w:val="pt-BR"/>
              </w:rPr>
              <w:t xml:space="preserve">Especificamente com relação aos efeitos na função miocárdica, há evidências experimentais de que a </w:t>
            </w:r>
            <w:proofErr w:type="spellStart"/>
            <w:r w:rsidR="00E00960">
              <w:rPr>
                <w:lang w:val="pt-BR"/>
              </w:rPr>
              <w:t>VitD</w:t>
            </w:r>
            <w:proofErr w:type="spellEnd"/>
            <w:r>
              <w:rPr>
                <w:lang w:val="pt-BR"/>
              </w:rPr>
              <w:t xml:space="preserve"> possa regular os canais de cálcio tipo L. O miocárdio neonatal é sabidamente dependente do fluxo de cálcio </w:t>
            </w:r>
            <w:proofErr w:type="spellStart"/>
            <w:r>
              <w:rPr>
                <w:lang w:val="pt-BR"/>
              </w:rPr>
              <w:t>trans-sarcolema</w:t>
            </w:r>
            <w:proofErr w:type="spellEnd"/>
            <w:r>
              <w:rPr>
                <w:lang w:val="pt-BR"/>
              </w:rPr>
              <w:t xml:space="preserve"> mantido, em grande parte, pelos canais do tipo L (6).</w:t>
            </w:r>
          </w:p>
          <w:p w14:paraId="25837000" w14:textId="77777777" w:rsidR="00222AD1" w:rsidRDefault="00222AD1" w:rsidP="00C55ADD">
            <w:pPr>
              <w:pStyle w:val="ListParagraph"/>
              <w:numPr>
                <w:ilvl w:val="0"/>
                <w:numId w:val="9"/>
              </w:numPr>
              <w:spacing w:before="120" w:after="120"/>
              <w:ind w:left="374"/>
              <w:rPr>
                <w:lang w:val="pt-BR"/>
              </w:rPr>
            </w:pPr>
            <w:r>
              <w:rPr>
                <w:lang w:val="pt-BR"/>
              </w:rPr>
              <w:t xml:space="preserve">Deficiência de </w:t>
            </w:r>
            <w:proofErr w:type="spellStart"/>
            <w:r w:rsidR="00E00960">
              <w:rPr>
                <w:lang w:val="pt-BR"/>
              </w:rPr>
              <w:t>VitD</w:t>
            </w:r>
            <w:proofErr w:type="spellEnd"/>
            <w:r>
              <w:rPr>
                <w:lang w:val="pt-BR"/>
              </w:rPr>
              <w:t xml:space="preserve"> e hipocalcemia foram observadas em </w:t>
            </w:r>
            <w:r w:rsidR="00C55ADD">
              <w:rPr>
                <w:lang w:val="pt-BR"/>
              </w:rPr>
              <w:t>lactentes</w:t>
            </w:r>
            <w:r>
              <w:rPr>
                <w:lang w:val="pt-BR"/>
              </w:rPr>
              <w:t xml:space="preserve"> com insuficiência cardíaca grave com risco de morte</w:t>
            </w:r>
            <w:r w:rsidR="00C55ADD">
              <w:rPr>
                <w:lang w:val="pt-BR"/>
              </w:rPr>
              <w:t xml:space="preserve"> (7).</w:t>
            </w:r>
          </w:p>
          <w:p w14:paraId="3E6C8259" w14:textId="77777777" w:rsidR="00C55ADD" w:rsidRDefault="00C55ADD" w:rsidP="00C55ADD">
            <w:pPr>
              <w:pStyle w:val="ListParagraph"/>
              <w:numPr>
                <w:ilvl w:val="0"/>
                <w:numId w:val="9"/>
              </w:numPr>
              <w:spacing w:before="120" w:after="120"/>
              <w:ind w:left="374"/>
              <w:rPr>
                <w:lang w:val="pt-BR"/>
              </w:rPr>
            </w:pPr>
            <w:r>
              <w:rPr>
                <w:lang w:val="pt-BR"/>
              </w:rPr>
              <w:t xml:space="preserve">As ações diversas da </w:t>
            </w:r>
            <w:proofErr w:type="spellStart"/>
            <w:r w:rsidR="00E00960">
              <w:rPr>
                <w:lang w:val="pt-BR"/>
              </w:rPr>
              <w:t>VitD</w:t>
            </w:r>
            <w:proofErr w:type="spellEnd"/>
            <w:r>
              <w:rPr>
                <w:lang w:val="pt-BR"/>
              </w:rPr>
              <w:t xml:space="preserve"> mencionadas acima, mais a associação de hipovitaminose D e insuficiência cardíaca em lactentes sugerem que a deficiência de vitamina D antes ou depois de cirurgia cardíaca para correção de cardiopatias congênitas em neonatos possam contribuir para desfechos desfavoráveis (8).</w:t>
            </w:r>
          </w:p>
          <w:p w14:paraId="63D15BB5" w14:textId="77777777" w:rsidR="00C55ADD" w:rsidRPr="00222AD1" w:rsidRDefault="00C55ADD" w:rsidP="00C55ADD">
            <w:pPr>
              <w:pStyle w:val="ListParagraph"/>
              <w:numPr>
                <w:ilvl w:val="0"/>
                <w:numId w:val="9"/>
              </w:numPr>
              <w:spacing w:before="120" w:after="120"/>
              <w:ind w:left="374"/>
              <w:rPr>
                <w:lang w:val="pt-BR"/>
              </w:rPr>
            </w:pPr>
            <w:r>
              <w:rPr>
                <w:lang w:val="pt-BR"/>
              </w:rPr>
              <w:t xml:space="preserve">Não existe nenhum dado publicado a respeito da prevalência de hipovitaminose D em neonatos com cardiopatias congênitas, ou como a circulação extracorpórea </w:t>
            </w:r>
            <w:r w:rsidR="00E00960">
              <w:rPr>
                <w:lang w:val="pt-BR"/>
              </w:rPr>
              <w:t xml:space="preserve">(CEC) </w:t>
            </w:r>
            <w:r>
              <w:rPr>
                <w:lang w:val="pt-BR"/>
              </w:rPr>
              <w:t>afeta o seu metabolismo, ou como a hipovitaminose D pode afetar desfechos clínicos importantes.</w:t>
            </w:r>
          </w:p>
        </w:tc>
      </w:tr>
      <w:tr w:rsidR="00ED121F" w:rsidRPr="000D3D4D" w14:paraId="79F23753" w14:textId="77777777" w:rsidTr="00B842B8">
        <w:tc>
          <w:tcPr>
            <w:tcW w:w="10415" w:type="dxa"/>
            <w:gridSpan w:val="2"/>
            <w:shd w:val="clear" w:color="auto" w:fill="D9D9D9" w:themeFill="background1" w:themeFillShade="D9"/>
          </w:tcPr>
          <w:p w14:paraId="40619086" w14:textId="77777777" w:rsidR="00ED121F" w:rsidRPr="00ED121F" w:rsidRDefault="00ED121F" w:rsidP="00C55ADD">
            <w:pPr>
              <w:spacing w:before="120" w:after="120"/>
              <w:rPr>
                <w:i/>
                <w:lang w:val="pt-BR"/>
              </w:rPr>
            </w:pPr>
            <w:r w:rsidRPr="00ED121F">
              <w:rPr>
                <w:b/>
                <w:i/>
                <w:lang w:val="pt-BR"/>
              </w:rPr>
              <w:t>Objetivos</w:t>
            </w:r>
          </w:p>
        </w:tc>
      </w:tr>
      <w:tr w:rsidR="00ED121F" w:rsidRPr="00C23543" w14:paraId="119CECA4" w14:textId="77777777" w:rsidTr="00222AD1">
        <w:tc>
          <w:tcPr>
            <w:tcW w:w="2603" w:type="dxa"/>
            <w:shd w:val="clear" w:color="auto" w:fill="auto"/>
          </w:tcPr>
          <w:p w14:paraId="5C415267" w14:textId="77777777" w:rsidR="00ED121F" w:rsidRDefault="00ED121F" w:rsidP="00622F3D">
            <w:pPr>
              <w:spacing w:before="120" w:after="120"/>
              <w:rPr>
                <w:b/>
                <w:lang w:val="pt-BR"/>
              </w:rPr>
            </w:pPr>
            <w:r>
              <w:rPr>
                <w:b/>
                <w:lang w:val="pt-BR"/>
              </w:rPr>
              <w:t>Objetivo primário</w:t>
            </w:r>
          </w:p>
        </w:tc>
        <w:tc>
          <w:tcPr>
            <w:tcW w:w="7812" w:type="dxa"/>
            <w:shd w:val="clear" w:color="auto" w:fill="auto"/>
          </w:tcPr>
          <w:p w14:paraId="51031EF2" w14:textId="77777777" w:rsidR="00765528" w:rsidRDefault="00765528" w:rsidP="00C55ADD">
            <w:pPr>
              <w:spacing w:before="120" w:after="120"/>
              <w:rPr>
                <w:lang w:val="pt-BR"/>
              </w:rPr>
            </w:pPr>
            <w:r>
              <w:rPr>
                <w:lang w:val="pt-BR"/>
              </w:rPr>
              <w:t>Deve ser único e objetivo. Exemplo:</w:t>
            </w:r>
          </w:p>
          <w:p w14:paraId="7FC70878" w14:textId="77777777" w:rsidR="00ED121F" w:rsidRDefault="00ED121F" w:rsidP="00C55ADD">
            <w:pPr>
              <w:spacing w:before="120" w:after="120"/>
              <w:rPr>
                <w:lang w:val="pt-BR"/>
              </w:rPr>
            </w:pPr>
            <w:r>
              <w:rPr>
                <w:lang w:val="pt-BR"/>
              </w:rPr>
              <w:t xml:space="preserve">Determinar a incidência de deficiência de </w:t>
            </w:r>
            <w:proofErr w:type="spellStart"/>
            <w:r>
              <w:rPr>
                <w:lang w:val="pt-BR"/>
              </w:rPr>
              <w:t>VitD</w:t>
            </w:r>
            <w:proofErr w:type="spellEnd"/>
            <w:r>
              <w:rPr>
                <w:lang w:val="pt-BR"/>
              </w:rPr>
              <w:t xml:space="preserve"> em neonatos submetidos a cirurgia cardíaca com CEC.</w:t>
            </w:r>
          </w:p>
        </w:tc>
      </w:tr>
      <w:tr w:rsidR="00ED121F" w:rsidRPr="00C23543" w14:paraId="69505731" w14:textId="77777777" w:rsidTr="00222AD1">
        <w:tc>
          <w:tcPr>
            <w:tcW w:w="2603" w:type="dxa"/>
            <w:shd w:val="clear" w:color="auto" w:fill="auto"/>
          </w:tcPr>
          <w:p w14:paraId="4C2F0B98" w14:textId="77777777" w:rsidR="00ED121F" w:rsidRDefault="00ED121F" w:rsidP="00622F3D">
            <w:pPr>
              <w:spacing w:before="120" w:after="120"/>
              <w:rPr>
                <w:b/>
                <w:lang w:val="pt-BR"/>
              </w:rPr>
            </w:pPr>
            <w:r>
              <w:rPr>
                <w:b/>
                <w:lang w:val="pt-BR"/>
              </w:rPr>
              <w:t>Objetivos secundários</w:t>
            </w:r>
          </w:p>
        </w:tc>
        <w:tc>
          <w:tcPr>
            <w:tcW w:w="7812" w:type="dxa"/>
            <w:shd w:val="clear" w:color="auto" w:fill="auto"/>
          </w:tcPr>
          <w:p w14:paraId="43DCB304" w14:textId="77777777" w:rsidR="00765528" w:rsidRPr="00765528" w:rsidRDefault="00765528" w:rsidP="00765528">
            <w:pPr>
              <w:spacing w:before="120" w:after="120"/>
              <w:rPr>
                <w:lang w:val="pt-BR"/>
              </w:rPr>
            </w:pPr>
            <w:r>
              <w:rPr>
                <w:lang w:val="pt-BR"/>
              </w:rPr>
              <w:t>Pode haver vários objetivos secundários, sempre enumerados objetivamente. Evitar objetivos muito amplos ou vagos. Exemplos:</w:t>
            </w:r>
          </w:p>
          <w:p w14:paraId="04CC7068" w14:textId="77777777" w:rsidR="00ED121F" w:rsidRDefault="00ED121F" w:rsidP="00ED121F">
            <w:pPr>
              <w:pStyle w:val="ListParagraph"/>
              <w:numPr>
                <w:ilvl w:val="0"/>
                <w:numId w:val="11"/>
              </w:numPr>
              <w:spacing w:before="120" w:after="120"/>
              <w:ind w:left="374"/>
              <w:rPr>
                <w:lang w:val="pt-BR"/>
              </w:rPr>
            </w:pPr>
            <w:r>
              <w:rPr>
                <w:lang w:val="pt-BR"/>
              </w:rPr>
              <w:t xml:space="preserve">Identificar possíveis fatores associados ao desenvolvimento de deficiência de </w:t>
            </w:r>
            <w:proofErr w:type="spellStart"/>
            <w:r>
              <w:rPr>
                <w:lang w:val="pt-BR"/>
              </w:rPr>
              <w:lastRenderedPageBreak/>
              <w:t>VitD</w:t>
            </w:r>
            <w:proofErr w:type="spellEnd"/>
            <w:r>
              <w:rPr>
                <w:lang w:val="pt-BR"/>
              </w:rPr>
              <w:t>.</w:t>
            </w:r>
          </w:p>
          <w:p w14:paraId="3200F1FD" w14:textId="77777777" w:rsidR="00ED121F" w:rsidRPr="00ED121F" w:rsidRDefault="00ED121F" w:rsidP="00ED121F">
            <w:pPr>
              <w:pStyle w:val="ListParagraph"/>
              <w:numPr>
                <w:ilvl w:val="0"/>
                <w:numId w:val="11"/>
              </w:numPr>
              <w:spacing w:before="120" w:after="120"/>
              <w:ind w:left="374"/>
              <w:rPr>
                <w:lang w:val="pt-BR"/>
              </w:rPr>
            </w:pPr>
            <w:r>
              <w:rPr>
                <w:lang w:val="pt-BR"/>
              </w:rPr>
              <w:t xml:space="preserve">Caracterizar os efeitos da CEC sobre a concentração de </w:t>
            </w:r>
            <w:proofErr w:type="spellStart"/>
            <w:r>
              <w:rPr>
                <w:lang w:val="pt-BR"/>
              </w:rPr>
              <w:t>VitD</w:t>
            </w:r>
            <w:proofErr w:type="spellEnd"/>
            <w:r>
              <w:rPr>
                <w:lang w:val="pt-BR"/>
              </w:rPr>
              <w:t>.</w:t>
            </w:r>
          </w:p>
        </w:tc>
      </w:tr>
      <w:tr w:rsidR="00ED121F" w:rsidRPr="000D3D4D" w14:paraId="5C694638" w14:textId="77777777" w:rsidTr="00B842B8">
        <w:tc>
          <w:tcPr>
            <w:tcW w:w="10415" w:type="dxa"/>
            <w:gridSpan w:val="2"/>
            <w:shd w:val="clear" w:color="auto" w:fill="D9D9D9" w:themeFill="background1" w:themeFillShade="D9"/>
          </w:tcPr>
          <w:p w14:paraId="4A2DDC4D" w14:textId="77777777" w:rsidR="00ED121F" w:rsidRPr="00ED121F" w:rsidRDefault="00ED121F" w:rsidP="00C55ADD">
            <w:pPr>
              <w:spacing w:before="120" w:after="120"/>
              <w:rPr>
                <w:i/>
                <w:lang w:val="pt-BR"/>
              </w:rPr>
            </w:pPr>
            <w:r w:rsidRPr="00ED121F">
              <w:rPr>
                <w:b/>
                <w:i/>
                <w:lang w:val="pt-BR"/>
              </w:rPr>
              <w:lastRenderedPageBreak/>
              <w:t>Métodos</w:t>
            </w:r>
          </w:p>
        </w:tc>
      </w:tr>
      <w:tr w:rsidR="00222AD1" w:rsidRPr="00C23543" w14:paraId="02FF7848" w14:textId="77777777" w:rsidTr="00222AD1">
        <w:tc>
          <w:tcPr>
            <w:tcW w:w="2603" w:type="dxa"/>
            <w:shd w:val="clear" w:color="auto" w:fill="auto"/>
          </w:tcPr>
          <w:p w14:paraId="4DB7C0CA" w14:textId="77777777" w:rsidR="00222AD1" w:rsidRPr="00EB51FC" w:rsidRDefault="00222AD1" w:rsidP="00EB51FC">
            <w:pPr>
              <w:spacing w:before="120" w:after="120"/>
              <w:rPr>
                <w:b/>
                <w:lang w:val="pt-BR"/>
              </w:rPr>
            </w:pPr>
            <w:r w:rsidRPr="00EB51FC">
              <w:rPr>
                <w:b/>
                <w:lang w:val="pt-BR"/>
              </w:rPr>
              <w:t>Delineamento</w:t>
            </w:r>
            <w:r w:rsidR="00C23543" w:rsidRPr="00EB51FC">
              <w:rPr>
                <w:b/>
                <w:lang w:val="pt-BR"/>
              </w:rPr>
              <w:t xml:space="preserve"> (</w:t>
            </w:r>
            <w:r w:rsidR="00EB51FC" w:rsidRPr="00EB51FC">
              <w:rPr>
                <w:b/>
                <w:lang w:val="pt-BR"/>
              </w:rPr>
              <w:t>t</w:t>
            </w:r>
            <w:r w:rsidR="00C23543" w:rsidRPr="00EB51FC">
              <w:rPr>
                <w:b/>
                <w:lang w:val="pt-BR"/>
              </w:rPr>
              <w:t>ipo do estudo</w:t>
            </w:r>
            <w:r w:rsidR="00EB51FC" w:rsidRPr="00EB51FC">
              <w:rPr>
                <w:b/>
                <w:lang w:val="pt-BR"/>
              </w:rPr>
              <w:t xml:space="preserve"> ou </w:t>
            </w:r>
            <w:proofErr w:type="spellStart"/>
            <w:r w:rsidR="00EB51FC" w:rsidRPr="00EB51FC">
              <w:rPr>
                <w:b/>
                <w:i/>
                <w:lang w:val="pt-BR"/>
              </w:rPr>
              <w:t>study</w:t>
            </w:r>
            <w:proofErr w:type="spellEnd"/>
            <w:r w:rsidR="00EB51FC" w:rsidRPr="00EB51FC">
              <w:rPr>
                <w:b/>
                <w:i/>
                <w:lang w:val="pt-BR"/>
              </w:rPr>
              <w:t xml:space="preserve"> design</w:t>
            </w:r>
            <w:r w:rsidR="00C23543" w:rsidRPr="00EB51FC">
              <w:rPr>
                <w:b/>
                <w:lang w:val="pt-BR"/>
              </w:rPr>
              <w:t>)</w:t>
            </w:r>
          </w:p>
        </w:tc>
        <w:tc>
          <w:tcPr>
            <w:tcW w:w="7812" w:type="dxa"/>
            <w:shd w:val="clear" w:color="auto" w:fill="auto"/>
          </w:tcPr>
          <w:p w14:paraId="1D6BD52F" w14:textId="77777777" w:rsidR="00765528" w:rsidRDefault="00765528" w:rsidP="00C55ADD">
            <w:pPr>
              <w:spacing w:before="120" w:after="120"/>
              <w:rPr>
                <w:lang w:val="pt-BR"/>
              </w:rPr>
            </w:pPr>
            <w:r>
              <w:rPr>
                <w:lang w:val="pt-BR"/>
              </w:rPr>
              <w:t>Exemplo:</w:t>
            </w:r>
          </w:p>
          <w:p w14:paraId="4CDE30B5" w14:textId="77777777" w:rsidR="00222AD1" w:rsidRPr="000D3D4D" w:rsidRDefault="00C55ADD" w:rsidP="00C55ADD">
            <w:pPr>
              <w:spacing w:before="120" w:after="120"/>
              <w:rPr>
                <w:lang w:val="pt-BR"/>
              </w:rPr>
            </w:pPr>
            <w:r>
              <w:rPr>
                <w:lang w:val="pt-BR"/>
              </w:rPr>
              <w:t>Estudo piloto prospe</w:t>
            </w:r>
            <w:bookmarkStart w:id="0" w:name="_GoBack"/>
            <w:bookmarkEnd w:id="0"/>
            <w:r>
              <w:rPr>
                <w:lang w:val="pt-BR"/>
              </w:rPr>
              <w:t>ctivo observacional do tipo coorte.</w:t>
            </w:r>
          </w:p>
        </w:tc>
      </w:tr>
      <w:tr w:rsidR="00222AD1" w:rsidRPr="00C23543" w14:paraId="7CA8BA49" w14:textId="77777777" w:rsidTr="00222AD1">
        <w:tc>
          <w:tcPr>
            <w:tcW w:w="2603" w:type="dxa"/>
            <w:shd w:val="clear" w:color="auto" w:fill="auto"/>
          </w:tcPr>
          <w:p w14:paraId="1DB6248C" w14:textId="77777777" w:rsidR="00222AD1" w:rsidRPr="00222AD1" w:rsidRDefault="00222AD1" w:rsidP="000D3D4D">
            <w:pPr>
              <w:spacing w:before="120" w:after="120"/>
              <w:rPr>
                <w:b/>
                <w:lang w:val="pt-BR"/>
              </w:rPr>
            </w:pPr>
            <w:r w:rsidRPr="00222AD1">
              <w:rPr>
                <w:b/>
                <w:lang w:val="pt-BR"/>
              </w:rPr>
              <w:t>Protocolo</w:t>
            </w:r>
          </w:p>
        </w:tc>
        <w:tc>
          <w:tcPr>
            <w:tcW w:w="7812" w:type="dxa"/>
            <w:shd w:val="clear" w:color="auto" w:fill="auto"/>
          </w:tcPr>
          <w:p w14:paraId="6FA4BFCA" w14:textId="77777777" w:rsidR="00765528" w:rsidRDefault="00765528" w:rsidP="00E00960">
            <w:pPr>
              <w:spacing w:before="120" w:after="120"/>
              <w:rPr>
                <w:lang w:val="pt-BR"/>
              </w:rPr>
            </w:pPr>
            <w:r>
              <w:rPr>
                <w:lang w:val="pt-BR"/>
              </w:rPr>
              <w:t>Descrever resumidamente as etapas de execução do estudo, incluindo visitas, coleta de sangue, revisão de prontuários, prescrição de medicamentos, etc. Exemplo:</w:t>
            </w:r>
          </w:p>
          <w:p w14:paraId="1E5E8A51" w14:textId="77777777" w:rsidR="00E00960" w:rsidRPr="00765528" w:rsidRDefault="00C55ADD" w:rsidP="00765528">
            <w:pPr>
              <w:pStyle w:val="ListParagraph"/>
              <w:numPr>
                <w:ilvl w:val="0"/>
                <w:numId w:val="12"/>
              </w:numPr>
              <w:spacing w:before="120" w:after="120"/>
              <w:ind w:left="357" w:hanging="357"/>
              <w:rPr>
                <w:lang w:val="pt-BR"/>
              </w:rPr>
            </w:pPr>
            <w:r w:rsidRPr="00765528">
              <w:rPr>
                <w:lang w:val="pt-BR"/>
              </w:rPr>
              <w:t xml:space="preserve">Amostras de sangue (5 mL) serão coletadas </w:t>
            </w:r>
            <w:r w:rsidR="00E00960" w:rsidRPr="00765528">
              <w:rPr>
                <w:lang w:val="pt-BR"/>
              </w:rPr>
              <w:t>em 5 momentos: imediatamente antes da CEC (T0), 24 horas após o início da CEC (T1), 48 horas após o início da CEC (T2), 72 horas após o início da CEC (T3) e no dia da alta hospitalar (T4).</w:t>
            </w:r>
          </w:p>
          <w:p w14:paraId="2BED087D" w14:textId="77777777" w:rsidR="00222AD1" w:rsidRPr="00765528" w:rsidRDefault="00E00960" w:rsidP="00765528">
            <w:pPr>
              <w:pStyle w:val="ListParagraph"/>
              <w:numPr>
                <w:ilvl w:val="0"/>
                <w:numId w:val="12"/>
              </w:numPr>
              <w:spacing w:before="120" w:after="120"/>
              <w:ind w:left="357" w:hanging="357"/>
              <w:rPr>
                <w:lang w:val="pt-BR"/>
              </w:rPr>
            </w:pPr>
            <w:r w:rsidRPr="00765528">
              <w:rPr>
                <w:lang w:val="pt-BR"/>
              </w:rPr>
              <w:t>Amostras de urina (5 mL) serão coletadas nos mesmos momentos através de sonda vesical ou saco coletor.</w:t>
            </w:r>
          </w:p>
          <w:p w14:paraId="3F6B6CB1" w14:textId="77777777" w:rsidR="00E00960" w:rsidRPr="00765528" w:rsidRDefault="00E00960" w:rsidP="00765528">
            <w:pPr>
              <w:pStyle w:val="ListParagraph"/>
              <w:numPr>
                <w:ilvl w:val="0"/>
                <w:numId w:val="12"/>
              </w:numPr>
              <w:spacing w:before="120" w:after="120"/>
              <w:ind w:left="357" w:hanging="357"/>
              <w:rPr>
                <w:lang w:val="pt-BR"/>
              </w:rPr>
            </w:pPr>
            <w:r w:rsidRPr="00765528">
              <w:rPr>
                <w:lang w:val="pt-BR"/>
              </w:rPr>
              <w:t xml:space="preserve">Exames no sangue: 25-OH-VitD, 1,25-OH-VitD, PTH, </w:t>
            </w:r>
            <w:proofErr w:type="spellStart"/>
            <w:r w:rsidRPr="00765528">
              <w:rPr>
                <w:lang w:val="pt-BR"/>
              </w:rPr>
              <w:t>fosfatase</w:t>
            </w:r>
            <w:proofErr w:type="spellEnd"/>
            <w:r w:rsidRPr="00765528">
              <w:rPr>
                <w:lang w:val="pt-BR"/>
              </w:rPr>
              <w:t xml:space="preserve"> alcalina, creatinina, albumina, cálcio iônico e total, fosfato, magnésio, função hepática e proteína C reativa.</w:t>
            </w:r>
          </w:p>
          <w:p w14:paraId="17358E81" w14:textId="77777777" w:rsidR="00E00960" w:rsidRPr="00765528" w:rsidRDefault="00E00960" w:rsidP="00765528">
            <w:pPr>
              <w:pStyle w:val="ListParagraph"/>
              <w:numPr>
                <w:ilvl w:val="0"/>
                <w:numId w:val="12"/>
              </w:numPr>
              <w:spacing w:before="120" w:after="120"/>
              <w:ind w:left="357" w:hanging="357"/>
              <w:rPr>
                <w:lang w:val="pt-BR"/>
              </w:rPr>
            </w:pPr>
            <w:r w:rsidRPr="00765528">
              <w:rPr>
                <w:lang w:val="pt-BR"/>
              </w:rPr>
              <w:t xml:space="preserve">Exames na urina: cálcio, </w:t>
            </w:r>
            <w:proofErr w:type="spellStart"/>
            <w:r w:rsidRPr="00765528">
              <w:rPr>
                <w:lang w:val="pt-BR"/>
              </w:rPr>
              <w:t>creatinine</w:t>
            </w:r>
            <w:proofErr w:type="spellEnd"/>
            <w:r w:rsidRPr="00765528">
              <w:rPr>
                <w:lang w:val="pt-BR"/>
              </w:rPr>
              <w:t xml:space="preserve"> a N-</w:t>
            </w:r>
            <w:proofErr w:type="spellStart"/>
            <w:r w:rsidRPr="00765528">
              <w:rPr>
                <w:lang w:val="pt-BR"/>
              </w:rPr>
              <w:t>telopeptídeos</w:t>
            </w:r>
            <w:proofErr w:type="spellEnd"/>
            <w:r w:rsidRPr="00765528">
              <w:rPr>
                <w:lang w:val="pt-BR"/>
              </w:rPr>
              <w:t>.</w:t>
            </w:r>
          </w:p>
        </w:tc>
      </w:tr>
      <w:tr w:rsidR="00450EDF" w:rsidRPr="00866564" w14:paraId="35A0637A" w14:textId="77777777" w:rsidTr="00B842B8">
        <w:tc>
          <w:tcPr>
            <w:tcW w:w="10415" w:type="dxa"/>
            <w:gridSpan w:val="2"/>
            <w:shd w:val="clear" w:color="auto" w:fill="D9D9D9" w:themeFill="background1" w:themeFillShade="D9"/>
          </w:tcPr>
          <w:p w14:paraId="6FFF7109" w14:textId="77777777" w:rsidR="00450EDF" w:rsidRPr="00866564" w:rsidRDefault="00450EDF" w:rsidP="000D3D4D">
            <w:pPr>
              <w:spacing w:before="120" w:after="120"/>
              <w:rPr>
                <w:i/>
                <w:lang w:val="pt-BR"/>
              </w:rPr>
            </w:pPr>
            <w:r w:rsidRPr="00866564">
              <w:rPr>
                <w:b/>
                <w:i/>
                <w:lang w:val="pt-BR"/>
              </w:rPr>
              <w:t>Sujeitos</w:t>
            </w:r>
          </w:p>
        </w:tc>
      </w:tr>
      <w:tr w:rsidR="00222AD1" w:rsidRPr="00C23543" w14:paraId="3E72A5BE" w14:textId="77777777" w:rsidTr="00222AD1">
        <w:tc>
          <w:tcPr>
            <w:tcW w:w="2603" w:type="dxa"/>
            <w:shd w:val="clear" w:color="auto" w:fill="auto"/>
          </w:tcPr>
          <w:p w14:paraId="651506E0" w14:textId="77777777" w:rsidR="00222AD1" w:rsidRPr="00222AD1" w:rsidRDefault="00222AD1" w:rsidP="000D3D4D">
            <w:pPr>
              <w:spacing w:before="120" w:after="120"/>
              <w:rPr>
                <w:b/>
                <w:lang w:val="pt-BR"/>
              </w:rPr>
            </w:pPr>
            <w:r w:rsidRPr="00222AD1">
              <w:rPr>
                <w:b/>
                <w:lang w:val="pt-BR"/>
              </w:rPr>
              <w:t>Critérios de inclusão</w:t>
            </w:r>
          </w:p>
        </w:tc>
        <w:tc>
          <w:tcPr>
            <w:tcW w:w="7812" w:type="dxa"/>
            <w:shd w:val="clear" w:color="auto" w:fill="auto"/>
          </w:tcPr>
          <w:p w14:paraId="72B5AB1E" w14:textId="77777777" w:rsidR="00222AD1" w:rsidRPr="000D3D4D" w:rsidRDefault="00E00960" w:rsidP="000D3D4D">
            <w:pPr>
              <w:spacing w:before="120" w:after="120"/>
              <w:rPr>
                <w:lang w:val="pt-BR"/>
              </w:rPr>
            </w:pPr>
            <w:r>
              <w:rPr>
                <w:lang w:val="pt-BR"/>
              </w:rPr>
              <w:t>Neonatos ≤ 14 dias de idade submetidos a cirurgia cardíaca com CEC no HCFMRP-USP entre 1/1/11 e 31/12/11.</w:t>
            </w:r>
          </w:p>
        </w:tc>
      </w:tr>
      <w:tr w:rsidR="00222AD1" w:rsidRPr="000D3D4D" w14:paraId="489EEAE7" w14:textId="77777777" w:rsidTr="00222AD1">
        <w:tc>
          <w:tcPr>
            <w:tcW w:w="2603" w:type="dxa"/>
            <w:shd w:val="clear" w:color="auto" w:fill="auto"/>
          </w:tcPr>
          <w:p w14:paraId="4F4D5000" w14:textId="77777777" w:rsidR="00222AD1" w:rsidRPr="00222AD1" w:rsidRDefault="00222AD1" w:rsidP="000D3D4D">
            <w:pPr>
              <w:spacing w:before="120" w:after="120"/>
              <w:rPr>
                <w:b/>
                <w:lang w:val="pt-BR"/>
              </w:rPr>
            </w:pPr>
            <w:r w:rsidRPr="00222AD1">
              <w:rPr>
                <w:b/>
                <w:lang w:val="pt-BR"/>
              </w:rPr>
              <w:t>Critérios de exclusão</w:t>
            </w:r>
          </w:p>
        </w:tc>
        <w:tc>
          <w:tcPr>
            <w:tcW w:w="7812" w:type="dxa"/>
            <w:shd w:val="clear" w:color="auto" w:fill="auto"/>
          </w:tcPr>
          <w:p w14:paraId="6402F201" w14:textId="77777777" w:rsidR="00222AD1" w:rsidRDefault="00E00960" w:rsidP="00E00960">
            <w:pPr>
              <w:pStyle w:val="ListParagraph"/>
              <w:numPr>
                <w:ilvl w:val="0"/>
                <w:numId w:val="10"/>
              </w:numPr>
              <w:spacing w:before="120" w:after="120"/>
              <w:ind w:left="374"/>
              <w:rPr>
                <w:lang w:val="pt-BR"/>
              </w:rPr>
            </w:pPr>
            <w:r>
              <w:rPr>
                <w:lang w:val="pt-BR"/>
              </w:rPr>
              <w:t xml:space="preserve">Qualquer doença hereditária que interfira com o metabolismo da </w:t>
            </w:r>
            <w:proofErr w:type="spellStart"/>
            <w:r>
              <w:rPr>
                <w:lang w:val="pt-BR"/>
              </w:rPr>
              <w:t>VitD</w:t>
            </w:r>
            <w:proofErr w:type="spellEnd"/>
            <w:r>
              <w:rPr>
                <w:lang w:val="pt-BR"/>
              </w:rPr>
              <w:t xml:space="preserve"> (ex. raquitismos hereditários);</w:t>
            </w:r>
          </w:p>
          <w:p w14:paraId="600B00AE" w14:textId="77777777" w:rsidR="00E00960" w:rsidRDefault="00E00960" w:rsidP="00E00960">
            <w:pPr>
              <w:pStyle w:val="ListParagraph"/>
              <w:numPr>
                <w:ilvl w:val="0"/>
                <w:numId w:val="10"/>
              </w:numPr>
              <w:spacing w:before="120" w:after="120"/>
              <w:ind w:left="374"/>
              <w:rPr>
                <w:lang w:val="pt-BR"/>
              </w:rPr>
            </w:pPr>
            <w:r>
              <w:rPr>
                <w:lang w:val="pt-BR"/>
              </w:rPr>
              <w:t>Doença renal ou hepática conhecida;</w:t>
            </w:r>
          </w:p>
          <w:p w14:paraId="2125F7C4" w14:textId="77777777" w:rsidR="00E00960" w:rsidRPr="00E00960" w:rsidRDefault="00E00960" w:rsidP="00E00960">
            <w:pPr>
              <w:pStyle w:val="ListParagraph"/>
              <w:numPr>
                <w:ilvl w:val="0"/>
                <w:numId w:val="10"/>
              </w:numPr>
              <w:spacing w:before="120" w:after="120"/>
              <w:ind w:left="374"/>
              <w:rPr>
                <w:lang w:val="pt-BR"/>
              </w:rPr>
            </w:pPr>
            <w:r>
              <w:rPr>
                <w:lang w:val="pt-BR"/>
              </w:rPr>
              <w:t>Deleção 22q11.</w:t>
            </w:r>
          </w:p>
        </w:tc>
      </w:tr>
      <w:tr w:rsidR="00222AD1" w:rsidRPr="00C23543" w14:paraId="448355D0" w14:textId="77777777" w:rsidTr="00222AD1">
        <w:tc>
          <w:tcPr>
            <w:tcW w:w="2603" w:type="dxa"/>
            <w:shd w:val="clear" w:color="auto" w:fill="auto"/>
          </w:tcPr>
          <w:p w14:paraId="13A66B73" w14:textId="77777777" w:rsidR="00222AD1" w:rsidRPr="00222AD1" w:rsidRDefault="00222AD1" w:rsidP="000D3D4D">
            <w:pPr>
              <w:spacing w:before="120" w:after="120"/>
              <w:rPr>
                <w:b/>
                <w:lang w:val="pt-BR"/>
              </w:rPr>
            </w:pPr>
            <w:r>
              <w:rPr>
                <w:b/>
                <w:lang w:val="pt-BR"/>
              </w:rPr>
              <w:t>R</w:t>
            </w:r>
            <w:r w:rsidRPr="00222AD1">
              <w:rPr>
                <w:b/>
                <w:lang w:val="pt-BR"/>
              </w:rPr>
              <w:t>ecrutamento</w:t>
            </w:r>
          </w:p>
        </w:tc>
        <w:tc>
          <w:tcPr>
            <w:tcW w:w="7812" w:type="dxa"/>
            <w:shd w:val="clear" w:color="auto" w:fill="auto"/>
          </w:tcPr>
          <w:p w14:paraId="7274D1D9" w14:textId="77777777" w:rsidR="00765528" w:rsidRDefault="00765528" w:rsidP="000D3D4D">
            <w:pPr>
              <w:spacing w:before="120" w:after="120"/>
              <w:rPr>
                <w:lang w:val="pt-BR"/>
              </w:rPr>
            </w:pPr>
            <w:r>
              <w:rPr>
                <w:lang w:val="pt-BR"/>
              </w:rPr>
              <w:t>Descrever sucintamente como os pacientes serão identificados e abordados. Exemplo:</w:t>
            </w:r>
          </w:p>
          <w:p w14:paraId="06A35F15" w14:textId="77777777" w:rsidR="00222AD1" w:rsidRPr="000D3D4D" w:rsidRDefault="00E00960" w:rsidP="000D3D4D">
            <w:pPr>
              <w:spacing w:before="120" w:after="120"/>
              <w:rPr>
                <w:lang w:val="pt-BR"/>
              </w:rPr>
            </w:pPr>
            <w:r>
              <w:rPr>
                <w:lang w:val="pt-BR"/>
              </w:rPr>
              <w:t>Os pacientes serão identificados e recrutados no pré-operatório através da agenda cirúrgica</w:t>
            </w:r>
            <w:r w:rsidR="00866564">
              <w:rPr>
                <w:lang w:val="pt-BR"/>
              </w:rPr>
              <w:t>. O recrutamento ocorrerá na UTI pediátrica ou enfermaria de cardiologia pediátrica.</w:t>
            </w:r>
          </w:p>
        </w:tc>
      </w:tr>
      <w:tr w:rsidR="00450EDF" w:rsidRPr="00866564" w14:paraId="2C020E42" w14:textId="77777777" w:rsidTr="00B842B8">
        <w:tc>
          <w:tcPr>
            <w:tcW w:w="10415" w:type="dxa"/>
            <w:gridSpan w:val="2"/>
            <w:shd w:val="clear" w:color="auto" w:fill="D9D9D9" w:themeFill="background1" w:themeFillShade="D9"/>
          </w:tcPr>
          <w:p w14:paraId="7D7FD457" w14:textId="77777777" w:rsidR="00450EDF" w:rsidRPr="00866564" w:rsidRDefault="00450EDF" w:rsidP="000D3D4D">
            <w:pPr>
              <w:spacing w:before="120" w:after="120"/>
              <w:rPr>
                <w:i/>
                <w:lang w:val="pt-BR"/>
              </w:rPr>
            </w:pPr>
            <w:r w:rsidRPr="00866564">
              <w:rPr>
                <w:b/>
                <w:i/>
                <w:lang w:val="pt-BR"/>
              </w:rPr>
              <w:t>Variáveis</w:t>
            </w:r>
          </w:p>
        </w:tc>
      </w:tr>
      <w:tr w:rsidR="00222AD1" w:rsidRPr="00C23543" w14:paraId="16013A1D" w14:textId="77777777" w:rsidTr="00222AD1">
        <w:tc>
          <w:tcPr>
            <w:tcW w:w="2603" w:type="dxa"/>
            <w:shd w:val="clear" w:color="auto" w:fill="auto"/>
          </w:tcPr>
          <w:p w14:paraId="65E9CF2B" w14:textId="77777777" w:rsidR="00222AD1" w:rsidRPr="00222AD1" w:rsidRDefault="00222AD1" w:rsidP="000D3D4D">
            <w:pPr>
              <w:spacing w:before="120" w:after="120"/>
              <w:rPr>
                <w:b/>
                <w:lang w:val="pt-BR"/>
              </w:rPr>
            </w:pPr>
            <w:r w:rsidRPr="00222AD1">
              <w:rPr>
                <w:b/>
                <w:lang w:val="pt-BR"/>
              </w:rPr>
              <w:t>Desfecho primário</w:t>
            </w:r>
          </w:p>
        </w:tc>
        <w:tc>
          <w:tcPr>
            <w:tcW w:w="7812" w:type="dxa"/>
            <w:shd w:val="clear" w:color="auto" w:fill="auto"/>
          </w:tcPr>
          <w:p w14:paraId="55BD929D" w14:textId="77777777" w:rsidR="00765528" w:rsidRDefault="00765528" w:rsidP="000D3D4D">
            <w:pPr>
              <w:spacing w:before="120" w:after="120"/>
              <w:rPr>
                <w:lang w:val="pt-BR"/>
              </w:rPr>
            </w:pPr>
            <w:r>
              <w:rPr>
                <w:lang w:val="pt-BR"/>
              </w:rPr>
              <w:t>Descrever uma única variável, objetiva e bem caracterizada. Exemplo:</w:t>
            </w:r>
          </w:p>
          <w:p w14:paraId="64AE83C0" w14:textId="77777777" w:rsidR="00222AD1" w:rsidRPr="000D3D4D" w:rsidRDefault="00450EDF" w:rsidP="000D3D4D">
            <w:pPr>
              <w:spacing w:before="120" w:after="120"/>
              <w:rPr>
                <w:lang w:val="pt-BR"/>
              </w:rPr>
            </w:pPr>
            <w:r>
              <w:rPr>
                <w:lang w:val="pt-BR"/>
              </w:rPr>
              <w:t xml:space="preserve">Prevalência de deficiência (&lt; 20 </w:t>
            </w:r>
            <w:proofErr w:type="spellStart"/>
            <w:r>
              <w:rPr>
                <w:lang w:val="pt-BR"/>
              </w:rPr>
              <w:t>ng</w:t>
            </w:r>
            <w:proofErr w:type="spellEnd"/>
            <w:r>
              <w:rPr>
                <w:lang w:val="pt-BR"/>
              </w:rPr>
              <w:t>/</w:t>
            </w:r>
            <w:proofErr w:type="spellStart"/>
            <w:r>
              <w:rPr>
                <w:lang w:val="pt-BR"/>
              </w:rPr>
              <w:t>mL</w:t>
            </w:r>
            <w:proofErr w:type="spellEnd"/>
            <w:r>
              <w:rPr>
                <w:lang w:val="pt-BR"/>
              </w:rPr>
              <w:t xml:space="preserve">) ou insuficiência (20–30 </w:t>
            </w:r>
            <w:proofErr w:type="spellStart"/>
            <w:r>
              <w:rPr>
                <w:lang w:val="pt-BR"/>
              </w:rPr>
              <w:t>ng</w:t>
            </w:r>
            <w:proofErr w:type="spellEnd"/>
            <w:r>
              <w:rPr>
                <w:lang w:val="pt-BR"/>
              </w:rPr>
              <w:t>/</w:t>
            </w:r>
            <w:proofErr w:type="spellStart"/>
            <w:r>
              <w:rPr>
                <w:lang w:val="pt-BR"/>
              </w:rPr>
              <w:t>mL</w:t>
            </w:r>
            <w:proofErr w:type="spellEnd"/>
            <w:r>
              <w:rPr>
                <w:lang w:val="pt-BR"/>
              </w:rPr>
              <w:t>) de 25-OH-VitD em T0–T4.</w:t>
            </w:r>
          </w:p>
        </w:tc>
      </w:tr>
      <w:tr w:rsidR="00222AD1" w:rsidRPr="00C23543" w14:paraId="12302B65" w14:textId="77777777" w:rsidTr="00222AD1">
        <w:tc>
          <w:tcPr>
            <w:tcW w:w="2603" w:type="dxa"/>
            <w:shd w:val="clear" w:color="auto" w:fill="auto"/>
          </w:tcPr>
          <w:p w14:paraId="481F2A73" w14:textId="77777777" w:rsidR="00222AD1" w:rsidRPr="00222AD1" w:rsidRDefault="00222AD1" w:rsidP="000D3D4D">
            <w:pPr>
              <w:spacing w:before="120" w:after="120"/>
              <w:rPr>
                <w:b/>
                <w:lang w:val="pt-BR"/>
              </w:rPr>
            </w:pPr>
            <w:r w:rsidRPr="00222AD1">
              <w:rPr>
                <w:b/>
                <w:lang w:val="pt-BR"/>
              </w:rPr>
              <w:t>Desfecho(s) secundário(s)</w:t>
            </w:r>
          </w:p>
        </w:tc>
        <w:tc>
          <w:tcPr>
            <w:tcW w:w="7812" w:type="dxa"/>
            <w:shd w:val="clear" w:color="auto" w:fill="auto"/>
          </w:tcPr>
          <w:p w14:paraId="6EAC554B" w14:textId="77777777" w:rsidR="00765528" w:rsidRDefault="00765528" w:rsidP="00866564">
            <w:pPr>
              <w:spacing w:before="120" w:after="120"/>
              <w:rPr>
                <w:lang w:val="pt-BR"/>
              </w:rPr>
            </w:pPr>
            <w:r>
              <w:rPr>
                <w:lang w:val="pt-BR"/>
              </w:rPr>
              <w:t>Enumerar outras variáveis sucintamente.</w:t>
            </w:r>
          </w:p>
          <w:p w14:paraId="6450FE14" w14:textId="77777777" w:rsidR="00222AD1" w:rsidRPr="000D3D4D" w:rsidRDefault="00450EDF" w:rsidP="00866564">
            <w:pPr>
              <w:spacing w:before="120" w:after="120"/>
              <w:rPr>
                <w:lang w:val="pt-BR"/>
              </w:rPr>
            </w:pPr>
            <w:r>
              <w:rPr>
                <w:lang w:val="pt-BR"/>
              </w:rPr>
              <w:t>Duração da internação na UTIP e no hospital, duração da ventilação mecânica e mortalidade.</w:t>
            </w:r>
          </w:p>
        </w:tc>
      </w:tr>
      <w:tr w:rsidR="00222AD1" w:rsidRPr="00C23543" w14:paraId="0E0B8942" w14:textId="77777777" w:rsidTr="00222AD1">
        <w:tc>
          <w:tcPr>
            <w:tcW w:w="2603" w:type="dxa"/>
            <w:shd w:val="clear" w:color="auto" w:fill="auto"/>
          </w:tcPr>
          <w:p w14:paraId="5CFD8B45" w14:textId="77777777" w:rsidR="00222AD1" w:rsidRPr="00222AD1" w:rsidRDefault="00222AD1" w:rsidP="000D3D4D">
            <w:pPr>
              <w:spacing w:before="120" w:after="120"/>
              <w:rPr>
                <w:b/>
                <w:lang w:val="pt-BR"/>
              </w:rPr>
            </w:pPr>
            <w:r w:rsidRPr="00222AD1">
              <w:rPr>
                <w:b/>
                <w:lang w:val="pt-BR"/>
              </w:rPr>
              <w:t>Preditores</w:t>
            </w:r>
          </w:p>
        </w:tc>
        <w:tc>
          <w:tcPr>
            <w:tcW w:w="7812" w:type="dxa"/>
            <w:shd w:val="clear" w:color="auto" w:fill="auto"/>
          </w:tcPr>
          <w:p w14:paraId="05D4BE25" w14:textId="77777777" w:rsidR="00765528" w:rsidRDefault="00765528" w:rsidP="00866564">
            <w:pPr>
              <w:spacing w:before="120" w:after="120"/>
              <w:rPr>
                <w:lang w:val="pt-BR"/>
              </w:rPr>
            </w:pPr>
            <w:r>
              <w:rPr>
                <w:lang w:val="pt-BR"/>
              </w:rPr>
              <w:t>Enumerar as variáveis que serão estudadas em relação à sua influência nos desfechos. Exemplos:</w:t>
            </w:r>
          </w:p>
          <w:p w14:paraId="4D8F5061" w14:textId="77777777" w:rsidR="00222AD1" w:rsidRPr="000D3D4D" w:rsidRDefault="00866564" w:rsidP="00866564">
            <w:pPr>
              <w:spacing w:before="120" w:after="120"/>
              <w:rPr>
                <w:lang w:val="pt-BR"/>
              </w:rPr>
            </w:pPr>
            <w:r>
              <w:rPr>
                <w:lang w:val="pt-BR"/>
              </w:rPr>
              <w:t xml:space="preserve">Idade na cirurgia, sexo, idade gestacional, peso ao nascer, cor da pele, uso de vitaminas no pré-natal, duração da CEC, uso de parada circulatória total, nadir </w:t>
            </w:r>
            <w:proofErr w:type="spellStart"/>
            <w:r>
              <w:rPr>
                <w:lang w:val="pt-BR"/>
              </w:rPr>
              <w:t>intra</w:t>
            </w:r>
            <w:proofErr w:type="spellEnd"/>
            <w:r>
              <w:rPr>
                <w:lang w:val="pt-BR"/>
              </w:rPr>
              <w:t xml:space="preserve">-operatório do hematócrito e da temperatura, uso de </w:t>
            </w:r>
            <w:proofErr w:type="spellStart"/>
            <w:r>
              <w:rPr>
                <w:lang w:val="pt-BR"/>
              </w:rPr>
              <w:t>hemofiltração</w:t>
            </w:r>
            <w:proofErr w:type="spellEnd"/>
            <w:r>
              <w:rPr>
                <w:lang w:val="pt-BR"/>
              </w:rPr>
              <w:t xml:space="preserve">, categoria RACHS-1, suplementação de </w:t>
            </w:r>
            <w:proofErr w:type="spellStart"/>
            <w:r>
              <w:rPr>
                <w:lang w:val="pt-BR"/>
              </w:rPr>
              <w:t>VitD</w:t>
            </w:r>
            <w:proofErr w:type="spellEnd"/>
            <w:r>
              <w:rPr>
                <w:lang w:val="pt-BR"/>
              </w:rPr>
              <w:t xml:space="preserve"> (parenteral e enteral), disfunção renal ou hepática pós-operatória, uso de suporte cardíaco mecânico, proteína C reativa e balanço hídrico.</w:t>
            </w:r>
          </w:p>
        </w:tc>
      </w:tr>
      <w:tr w:rsidR="00450EDF" w:rsidRPr="00FD144A" w14:paraId="121E1B37" w14:textId="77777777" w:rsidTr="00B842B8">
        <w:tc>
          <w:tcPr>
            <w:tcW w:w="10415" w:type="dxa"/>
            <w:gridSpan w:val="2"/>
            <w:shd w:val="clear" w:color="auto" w:fill="D9D9D9" w:themeFill="background1" w:themeFillShade="D9"/>
          </w:tcPr>
          <w:p w14:paraId="6B9D71A8" w14:textId="77777777" w:rsidR="00450EDF" w:rsidRPr="00FD144A" w:rsidRDefault="00450EDF" w:rsidP="000D3D4D">
            <w:pPr>
              <w:spacing w:before="120" w:after="120"/>
              <w:rPr>
                <w:i/>
                <w:lang w:val="pt-BR"/>
              </w:rPr>
            </w:pPr>
            <w:r w:rsidRPr="00FD144A">
              <w:rPr>
                <w:b/>
                <w:i/>
                <w:lang w:val="pt-BR"/>
              </w:rPr>
              <w:t>Análise estatística</w:t>
            </w:r>
          </w:p>
        </w:tc>
      </w:tr>
      <w:tr w:rsidR="00222AD1" w:rsidRPr="00C23543" w14:paraId="6520031E" w14:textId="77777777" w:rsidTr="00222AD1">
        <w:tc>
          <w:tcPr>
            <w:tcW w:w="2603" w:type="dxa"/>
            <w:shd w:val="clear" w:color="auto" w:fill="auto"/>
          </w:tcPr>
          <w:p w14:paraId="2806D716" w14:textId="77777777" w:rsidR="00222AD1" w:rsidRPr="00222AD1" w:rsidRDefault="00222AD1" w:rsidP="000D3D4D">
            <w:pPr>
              <w:spacing w:before="120" w:after="120"/>
              <w:rPr>
                <w:b/>
                <w:lang w:val="pt-BR"/>
              </w:rPr>
            </w:pPr>
            <w:r w:rsidRPr="00222AD1">
              <w:rPr>
                <w:b/>
                <w:lang w:val="pt-BR"/>
              </w:rPr>
              <w:lastRenderedPageBreak/>
              <w:t>Hipótese</w:t>
            </w:r>
          </w:p>
        </w:tc>
        <w:tc>
          <w:tcPr>
            <w:tcW w:w="7812" w:type="dxa"/>
            <w:shd w:val="clear" w:color="auto" w:fill="auto"/>
          </w:tcPr>
          <w:p w14:paraId="2976331F" w14:textId="77777777" w:rsidR="00765528" w:rsidRDefault="00765528" w:rsidP="00E82BE8">
            <w:pPr>
              <w:spacing w:before="120" w:after="120"/>
              <w:rPr>
                <w:lang w:val="pt-BR"/>
              </w:rPr>
            </w:pPr>
            <w:r>
              <w:rPr>
                <w:lang w:val="pt-BR"/>
              </w:rPr>
              <w:t>Descrever sucintamente a hipótese do estudo, que deve conter uma resposta possível à questão do estudo. Exemplo:</w:t>
            </w:r>
          </w:p>
          <w:p w14:paraId="3693F4B8" w14:textId="77777777" w:rsidR="00222AD1" w:rsidRPr="000D3D4D" w:rsidRDefault="00E82BE8" w:rsidP="00E82BE8">
            <w:pPr>
              <w:spacing w:before="120" w:after="120"/>
              <w:rPr>
                <w:lang w:val="pt-BR"/>
              </w:rPr>
            </w:pPr>
            <w:r>
              <w:rPr>
                <w:lang w:val="pt-BR"/>
              </w:rPr>
              <w:t>A CEC leva a redução significativa da concentração sérica de 1,25-OH-VitD</w:t>
            </w:r>
            <w:r w:rsidR="000A3503">
              <w:rPr>
                <w:lang w:val="pt-BR"/>
              </w:rPr>
              <w:t xml:space="preserve"> no 1º pós-operatório (T1), comparado com o valor basal (T0).</w:t>
            </w:r>
          </w:p>
        </w:tc>
      </w:tr>
      <w:tr w:rsidR="00222AD1" w:rsidRPr="000D3D4D" w14:paraId="3BE010C8" w14:textId="77777777" w:rsidTr="00222AD1">
        <w:tc>
          <w:tcPr>
            <w:tcW w:w="2603" w:type="dxa"/>
            <w:shd w:val="clear" w:color="auto" w:fill="auto"/>
          </w:tcPr>
          <w:p w14:paraId="182492A8" w14:textId="77777777" w:rsidR="00222AD1" w:rsidRPr="00222AD1" w:rsidRDefault="00222AD1" w:rsidP="000D3D4D">
            <w:pPr>
              <w:spacing w:before="120" w:after="120"/>
              <w:rPr>
                <w:b/>
                <w:lang w:val="pt-BR"/>
              </w:rPr>
            </w:pPr>
            <w:r w:rsidRPr="00222AD1">
              <w:rPr>
                <w:b/>
                <w:lang w:val="pt-BR"/>
              </w:rPr>
              <w:t>Plano de análise</w:t>
            </w:r>
          </w:p>
        </w:tc>
        <w:tc>
          <w:tcPr>
            <w:tcW w:w="7812" w:type="dxa"/>
            <w:shd w:val="clear" w:color="auto" w:fill="auto"/>
          </w:tcPr>
          <w:p w14:paraId="4E1AFB11" w14:textId="77777777" w:rsidR="00765528" w:rsidRDefault="00765528" w:rsidP="00EA1509">
            <w:pPr>
              <w:spacing w:before="120" w:after="120"/>
              <w:rPr>
                <w:lang w:val="pt-BR"/>
              </w:rPr>
            </w:pPr>
            <w:r>
              <w:rPr>
                <w:lang w:val="pt-BR"/>
              </w:rPr>
              <w:t xml:space="preserve">Descrever sucintamente o plano que será usado para testar a hipótese e responder à questão do </w:t>
            </w:r>
            <w:r w:rsidRPr="00EB51FC">
              <w:rPr>
                <w:lang w:val="pt-BR"/>
              </w:rPr>
              <w:t xml:space="preserve">estudo. </w:t>
            </w:r>
            <w:r w:rsidR="00C23543" w:rsidRPr="00EB51FC">
              <w:rPr>
                <w:lang w:val="pt-BR"/>
              </w:rPr>
              <w:t xml:space="preserve">Evitar cópia de planos de análise de outros estudos, pois nem sempre poderão ser aplicados ao seu caso. </w:t>
            </w:r>
            <w:r w:rsidRPr="00EB51FC">
              <w:rPr>
                <w:lang w:val="pt-BR"/>
              </w:rPr>
              <w:t>Exemplo</w:t>
            </w:r>
            <w:r>
              <w:rPr>
                <w:lang w:val="pt-BR"/>
              </w:rPr>
              <w:t>:</w:t>
            </w:r>
          </w:p>
          <w:p w14:paraId="7C1E9250" w14:textId="77777777" w:rsidR="00222AD1" w:rsidRPr="000D3D4D" w:rsidRDefault="00450EDF" w:rsidP="00EA1509">
            <w:pPr>
              <w:spacing w:before="120" w:after="120"/>
              <w:rPr>
                <w:lang w:val="pt-BR"/>
              </w:rPr>
            </w:pPr>
            <w:r>
              <w:rPr>
                <w:lang w:val="pt-BR"/>
              </w:rPr>
              <w:t xml:space="preserve">A prevalência de indivíduos com deficiência de </w:t>
            </w:r>
            <w:proofErr w:type="spellStart"/>
            <w:r>
              <w:rPr>
                <w:lang w:val="pt-BR"/>
              </w:rPr>
              <w:t>VitD</w:t>
            </w:r>
            <w:proofErr w:type="spellEnd"/>
            <w:r>
              <w:rPr>
                <w:lang w:val="pt-BR"/>
              </w:rPr>
              <w:t xml:space="preserve"> será calculada classificando-os</w:t>
            </w:r>
            <w:r w:rsidR="009C71ED">
              <w:rPr>
                <w:lang w:val="pt-BR"/>
              </w:rPr>
              <w:t xml:space="preserve"> de acordo com a dosagem de 1,25</w:t>
            </w:r>
            <w:r>
              <w:rPr>
                <w:lang w:val="pt-BR"/>
              </w:rPr>
              <w:t xml:space="preserve">-OH-VitD. Para determinar as associações das variáveis independentes com </w:t>
            </w:r>
            <w:r w:rsidR="00EA1509">
              <w:rPr>
                <w:lang w:val="pt-BR"/>
              </w:rPr>
              <w:t xml:space="preserve">os desfechos primário e secundários, serão propostos modelos lineares mistos (duração da internação e da ventilação mecânica) e de regressão logística binária (deficiência de </w:t>
            </w:r>
            <w:proofErr w:type="spellStart"/>
            <w:r w:rsidR="00EA1509">
              <w:rPr>
                <w:lang w:val="pt-BR"/>
              </w:rPr>
              <w:t>VitD</w:t>
            </w:r>
            <w:proofErr w:type="spellEnd"/>
            <w:r w:rsidR="00EA1509">
              <w:rPr>
                <w:lang w:val="pt-BR"/>
              </w:rPr>
              <w:t xml:space="preserve"> e mortalidade), seguida de verificação de colinearidade entre os preditores. O nível de significância adotado será de 0,05.</w:t>
            </w:r>
          </w:p>
        </w:tc>
      </w:tr>
      <w:tr w:rsidR="00222AD1" w:rsidRPr="00C23543" w14:paraId="600A117B" w14:textId="77777777" w:rsidTr="00222AD1">
        <w:tc>
          <w:tcPr>
            <w:tcW w:w="2603" w:type="dxa"/>
            <w:shd w:val="clear" w:color="auto" w:fill="auto"/>
          </w:tcPr>
          <w:p w14:paraId="1DF09D1A" w14:textId="77777777" w:rsidR="00222AD1" w:rsidRPr="00222AD1" w:rsidRDefault="00222AD1" w:rsidP="000D3D4D">
            <w:pPr>
              <w:spacing w:before="120" w:after="120"/>
              <w:rPr>
                <w:b/>
                <w:lang w:val="pt-BR"/>
              </w:rPr>
            </w:pPr>
            <w:r w:rsidRPr="00222AD1">
              <w:rPr>
                <w:b/>
                <w:lang w:val="pt-BR"/>
              </w:rPr>
              <w:t>Tamanho amostral</w:t>
            </w:r>
          </w:p>
        </w:tc>
        <w:tc>
          <w:tcPr>
            <w:tcW w:w="7812" w:type="dxa"/>
            <w:shd w:val="clear" w:color="auto" w:fill="auto"/>
          </w:tcPr>
          <w:p w14:paraId="32C7BD1F" w14:textId="77777777" w:rsidR="00765528" w:rsidRDefault="00765528" w:rsidP="009C71ED">
            <w:pPr>
              <w:spacing w:before="120" w:after="120"/>
              <w:rPr>
                <w:lang w:val="pt-BR"/>
              </w:rPr>
            </w:pPr>
            <w:r>
              <w:rPr>
                <w:lang w:val="pt-BR"/>
              </w:rPr>
              <w:t>Justificar a escolha do tamanho amostral baseado em estimativas históricas ou estatísticas (preferível), incluindo níveis aceitáveis de erros tipo I e II. Exemplo:</w:t>
            </w:r>
          </w:p>
          <w:p w14:paraId="33AF1D76" w14:textId="77777777" w:rsidR="00222AD1" w:rsidRPr="000D3D4D" w:rsidRDefault="00EA1509" w:rsidP="009C71ED">
            <w:pPr>
              <w:spacing w:before="120" w:after="120"/>
              <w:rPr>
                <w:lang w:val="pt-BR"/>
              </w:rPr>
            </w:pPr>
            <w:r>
              <w:rPr>
                <w:lang w:val="pt-BR"/>
              </w:rPr>
              <w:t>Trata-se de estudo exploratório desenhado pa</w:t>
            </w:r>
            <w:r w:rsidR="009C71ED">
              <w:rPr>
                <w:lang w:val="pt-BR"/>
              </w:rPr>
              <w:t>ra fornecer dados preliminares qu</w:t>
            </w:r>
            <w:r>
              <w:rPr>
                <w:lang w:val="pt-BR"/>
              </w:rPr>
              <w:t xml:space="preserve">e podem embasar um estudo prospectivo maior sobre os efeitos da hipovitaminose D nos desfechos após cirurgia cardíaca neonatal. A prevalência de hipovitaminose D não é conhecida nessa população. Gordon (2008) estima essa incidência em 12.1% em lactentes, enquanto </w:t>
            </w:r>
            <w:proofErr w:type="spellStart"/>
            <w:r>
              <w:rPr>
                <w:lang w:val="pt-BR"/>
              </w:rPr>
              <w:t>Merewood</w:t>
            </w:r>
            <w:proofErr w:type="spellEnd"/>
            <w:r>
              <w:rPr>
                <w:lang w:val="pt-BR"/>
              </w:rPr>
              <w:t xml:space="preserve"> (2010) estima em 58% em recém-nascidos. Uma amostra de 40 neonatos </w:t>
            </w:r>
            <w:r w:rsidR="00A81EBF">
              <w:rPr>
                <w:lang w:val="pt-BR"/>
              </w:rPr>
              <w:t>terá poder de 80% para detectar uma correlação significativa de magnitude maior ou igual a 0,43 (comparada com a correlação nula de 0) em testes bicaudais com significância de 0,05. Ainda que as correlações observadas não sejam desta magnitude, com uma amostra de 40 indivíduos será possível obter estimativas razoáveis das proporções, médias e desvios-padrão, e correlações, de forma a embasar estudos futuros.</w:t>
            </w:r>
          </w:p>
        </w:tc>
      </w:tr>
      <w:tr w:rsidR="009C71ED" w:rsidRPr="00C23543" w14:paraId="0AEFD01B" w14:textId="77777777" w:rsidTr="00222AD1">
        <w:tc>
          <w:tcPr>
            <w:tcW w:w="2603" w:type="dxa"/>
            <w:shd w:val="clear" w:color="auto" w:fill="auto"/>
          </w:tcPr>
          <w:p w14:paraId="7D4D7ECF" w14:textId="77777777" w:rsidR="009C71ED" w:rsidRPr="00222AD1" w:rsidRDefault="009C71ED" w:rsidP="000D3D4D">
            <w:pPr>
              <w:spacing w:before="120" w:after="120"/>
              <w:rPr>
                <w:b/>
                <w:lang w:val="pt-BR"/>
              </w:rPr>
            </w:pPr>
            <w:r>
              <w:rPr>
                <w:b/>
                <w:lang w:val="pt-BR"/>
              </w:rPr>
              <w:t>Resultados esperados</w:t>
            </w:r>
          </w:p>
        </w:tc>
        <w:tc>
          <w:tcPr>
            <w:tcW w:w="7812" w:type="dxa"/>
            <w:shd w:val="clear" w:color="auto" w:fill="auto"/>
          </w:tcPr>
          <w:p w14:paraId="2106D751" w14:textId="77777777" w:rsidR="00765528" w:rsidRDefault="00765528" w:rsidP="00EA1509">
            <w:pPr>
              <w:spacing w:before="120" w:after="120"/>
              <w:rPr>
                <w:lang w:val="pt-BR"/>
              </w:rPr>
            </w:pPr>
            <w:r>
              <w:rPr>
                <w:lang w:val="pt-BR"/>
              </w:rPr>
              <w:t>Descrever sucintamente os resultados que se espera obter. Exemplo:</w:t>
            </w:r>
          </w:p>
          <w:p w14:paraId="1E7F0BAE" w14:textId="77777777" w:rsidR="009C71ED" w:rsidRDefault="009C71ED" w:rsidP="00EA1509">
            <w:pPr>
              <w:spacing w:before="120" w:after="120"/>
              <w:rPr>
                <w:lang w:val="pt-BR"/>
              </w:rPr>
            </w:pPr>
            <w:r>
              <w:rPr>
                <w:lang w:val="pt-BR"/>
              </w:rPr>
              <w:t>Espera-se encontrar uma correlação entre a duração da CEC e a redução na concentração sérica de 1,25-OH-VitD da ordem de 0,43 ou mais.</w:t>
            </w:r>
          </w:p>
        </w:tc>
      </w:tr>
    </w:tbl>
    <w:p w14:paraId="2D0F50A2" w14:textId="77777777" w:rsidR="00E82BE8" w:rsidRDefault="00E82BE8" w:rsidP="00E82BE8">
      <w:pPr>
        <w:rPr>
          <w:lang w:val="pt-BR"/>
        </w:rPr>
      </w:pPr>
    </w:p>
    <w:p w14:paraId="3F9532DD" w14:textId="77777777" w:rsidR="00BA2A8C" w:rsidRPr="00C23543" w:rsidRDefault="00E82BE8" w:rsidP="00E82BE8">
      <w:pPr>
        <w:rPr>
          <w:b/>
        </w:rPr>
      </w:pPr>
      <w:proofErr w:type="spellStart"/>
      <w:r w:rsidRPr="00C23543">
        <w:rPr>
          <w:b/>
        </w:rPr>
        <w:t>Referências</w:t>
      </w:r>
      <w:proofErr w:type="spellEnd"/>
      <w:r w:rsidRPr="00C23543">
        <w:rPr>
          <w:b/>
        </w:rPr>
        <w:t>:</w:t>
      </w:r>
    </w:p>
    <w:p w14:paraId="59CD2439" w14:textId="77777777" w:rsidR="00E82BE8" w:rsidRPr="00C23543" w:rsidRDefault="00E82BE8" w:rsidP="00E82BE8">
      <w:pPr>
        <w:ind w:left="426" w:hanging="426"/>
      </w:pPr>
      <w:r w:rsidRPr="00C23543">
        <w:t>1.</w:t>
      </w:r>
      <w:r w:rsidRPr="00C23543">
        <w:tab/>
      </w:r>
      <w:proofErr w:type="spellStart"/>
      <w:r w:rsidRPr="00C23543">
        <w:t>Carlstedt</w:t>
      </w:r>
      <w:proofErr w:type="spellEnd"/>
      <w:r w:rsidRPr="00C23543">
        <w:t xml:space="preserve"> F, Lind L, </w:t>
      </w:r>
      <w:proofErr w:type="spellStart"/>
      <w:r w:rsidRPr="00C23543">
        <w:t>Rastad</w:t>
      </w:r>
      <w:proofErr w:type="spellEnd"/>
      <w:r w:rsidRPr="00C23543">
        <w:t xml:space="preserve"> J, et al: Parathyroid hormone and ionized calcium levels are related to the severity of illness and survival in critically ill patients. </w:t>
      </w:r>
      <w:proofErr w:type="spellStart"/>
      <w:r w:rsidRPr="00C23543">
        <w:t>Eur</w:t>
      </w:r>
      <w:proofErr w:type="spellEnd"/>
      <w:r w:rsidRPr="00C23543">
        <w:t xml:space="preserve"> J </w:t>
      </w:r>
      <w:proofErr w:type="spellStart"/>
      <w:r w:rsidRPr="00C23543">
        <w:t>Clin</w:t>
      </w:r>
      <w:proofErr w:type="spellEnd"/>
      <w:r w:rsidRPr="00C23543">
        <w:t xml:space="preserve"> Invest 1998; 28(11):898-903.</w:t>
      </w:r>
    </w:p>
    <w:p w14:paraId="2DF373AD" w14:textId="77777777" w:rsidR="00E82BE8" w:rsidRPr="00C23543" w:rsidRDefault="00E82BE8" w:rsidP="00E82BE8">
      <w:pPr>
        <w:ind w:left="426" w:hanging="426"/>
      </w:pPr>
      <w:r w:rsidRPr="00C23543">
        <w:t>2.</w:t>
      </w:r>
      <w:r w:rsidRPr="00C23543">
        <w:tab/>
      </w:r>
      <w:proofErr w:type="spellStart"/>
      <w:r w:rsidRPr="00C23543">
        <w:t>Melamed</w:t>
      </w:r>
      <w:proofErr w:type="spellEnd"/>
      <w:r w:rsidRPr="00C23543">
        <w:t xml:space="preserve"> ML, </w:t>
      </w:r>
      <w:proofErr w:type="spellStart"/>
      <w:r w:rsidRPr="00C23543">
        <w:t>Michos</w:t>
      </w:r>
      <w:proofErr w:type="spellEnd"/>
      <w:r w:rsidRPr="00C23543">
        <w:t xml:space="preserve"> ED, Post W, et al: 25-hydroxyvitamin D levels and the risk of mortality in the general population. Arch Intern Med 2008; 168(15):1629-1637</w:t>
      </w:r>
    </w:p>
    <w:p w14:paraId="6FA98CEF" w14:textId="77777777" w:rsidR="00E82BE8" w:rsidRPr="00C23543" w:rsidRDefault="00E82BE8" w:rsidP="00E82BE8">
      <w:pPr>
        <w:ind w:left="426" w:hanging="426"/>
      </w:pPr>
      <w:r w:rsidRPr="00C23543">
        <w:t>3.</w:t>
      </w:r>
      <w:r w:rsidRPr="00C23543">
        <w:tab/>
        <w:t xml:space="preserve">Lee P, </w:t>
      </w:r>
      <w:proofErr w:type="spellStart"/>
      <w:r w:rsidRPr="00C23543">
        <w:t>Eisman</w:t>
      </w:r>
      <w:proofErr w:type="spellEnd"/>
      <w:r w:rsidRPr="00C23543">
        <w:t xml:space="preserve"> JA, Center JR: Vitamin D deficiency in critically ill patients. N </w:t>
      </w:r>
      <w:proofErr w:type="spellStart"/>
      <w:r w:rsidRPr="00C23543">
        <w:t>Engl</w:t>
      </w:r>
      <w:proofErr w:type="spellEnd"/>
      <w:r w:rsidRPr="00C23543">
        <w:t xml:space="preserve"> J Med 2009; 360(18):1912-1914.</w:t>
      </w:r>
    </w:p>
    <w:p w14:paraId="5690ABE7" w14:textId="77777777" w:rsidR="00E82BE8" w:rsidRPr="00C23543" w:rsidRDefault="00E82BE8" w:rsidP="00E82BE8">
      <w:pPr>
        <w:ind w:left="426" w:hanging="426"/>
      </w:pPr>
      <w:r w:rsidRPr="00C23543">
        <w:t>4.</w:t>
      </w:r>
      <w:r w:rsidRPr="00C23543">
        <w:tab/>
        <w:t xml:space="preserve">Judd SE, </w:t>
      </w:r>
      <w:proofErr w:type="spellStart"/>
      <w:r w:rsidRPr="00C23543">
        <w:t>Tangpricha</w:t>
      </w:r>
      <w:proofErr w:type="spellEnd"/>
      <w:r w:rsidRPr="00C23543">
        <w:t xml:space="preserve"> V: Vitamin D deficiency and risk for cardiovascular disease. Am J Med </w:t>
      </w:r>
      <w:proofErr w:type="spellStart"/>
      <w:r w:rsidRPr="00C23543">
        <w:t>Sci</w:t>
      </w:r>
      <w:proofErr w:type="spellEnd"/>
      <w:r w:rsidRPr="00C23543">
        <w:t xml:space="preserve"> 2009; 338(1):40-44.</w:t>
      </w:r>
    </w:p>
    <w:p w14:paraId="071F9929" w14:textId="77777777" w:rsidR="00E82BE8" w:rsidRPr="00C23543" w:rsidRDefault="00E82BE8" w:rsidP="00E82BE8">
      <w:pPr>
        <w:ind w:left="426" w:hanging="426"/>
      </w:pPr>
      <w:r w:rsidRPr="00C23543">
        <w:t>5.</w:t>
      </w:r>
      <w:r w:rsidRPr="00C23543">
        <w:tab/>
      </w:r>
      <w:proofErr w:type="spellStart"/>
      <w:r w:rsidRPr="00C23543">
        <w:t>Merewood</w:t>
      </w:r>
      <w:proofErr w:type="spellEnd"/>
      <w:r w:rsidRPr="00C23543">
        <w:t xml:space="preserve"> A, Mehta SD, Grossman X, et al: Widespread vitamin D deficiency in urban Massachusetts newborns and their mothers. Pediatrics 2010; 125(4):640-647.</w:t>
      </w:r>
    </w:p>
    <w:p w14:paraId="62435E02" w14:textId="77777777" w:rsidR="00E82BE8" w:rsidRPr="00C23543" w:rsidRDefault="00E82BE8" w:rsidP="00E82BE8">
      <w:pPr>
        <w:ind w:left="426" w:hanging="426"/>
      </w:pPr>
      <w:r w:rsidRPr="00C23543">
        <w:t>6.</w:t>
      </w:r>
      <w:r w:rsidRPr="00C23543">
        <w:tab/>
        <w:t xml:space="preserve">Witham MD: Vitamin D in chronic heart failure. </w:t>
      </w:r>
      <w:proofErr w:type="spellStart"/>
      <w:r w:rsidRPr="00C23543">
        <w:t>Curr</w:t>
      </w:r>
      <w:proofErr w:type="spellEnd"/>
      <w:r w:rsidRPr="00C23543">
        <w:t xml:space="preserve"> Heart Fail Rep 2011; </w:t>
      </w:r>
      <w:proofErr w:type="spellStart"/>
      <w:r w:rsidRPr="00C23543">
        <w:t>epub</w:t>
      </w:r>
      <w:proofErr w:type="spellEnd"/>
      <w:r w:rsidRPr="00C23543">
        <w:t xml:space="preserve"> ahead of print</w:t>
      </w:r>
    </w:p>
    <w:p w14:paraId="4D7A61B2" w14:textId="77777777" w:rsidR="00E82BE8" w:rsidRPr="00C23543" w:rsidRDefault="00E82BE8" w:rsidP="00E82BE8">
      <w:pPr>
        <w:ind w:left="426" w:hanging="426"/>
      </w:pPr>
      <w:r w:rsidRPr="00C23543">
        <w:t>7.</w:t>
      </w:r>
      <w:r w:rsidRPr="00C23543">
        <w:tab/>
      </w:r>
      <w:proofErr w:type="spellStart"/>
      <w:r w:rsidRPr="00C23543">
        <w:t>Maiya</w:t>
      </w:r>
      <w:proofErr w:type="spellEnd"/>
      <w:r w:rsidRPr="00C23543">
        <w:t xml:space="preserve"> S, Sullivan I, </w:t>
      </w:r>
      <w:proofErr w:type="spellStart"/>
      <w:r w:rsidRPr="00C23543">
        <w:t>Allgrove</w:t>
      </w:r>
      <w:proofErr w:type="spellEnd"/>
      <w:r w:rsidRPr="00C23543">
        <w:t xml:space="preserve"> J, et al: </w:t>
      </w:r>
      <w:proofErr w:type="spellStart"/>
      <w:r w:rsidRPr="00C23543">
        <w:t>Hypocalcemia</w:t>
      </w:r>
      <w:proofErr w:type="spellEnd"/>
      <w:r w:rsidRPr="00C23543">
        <w:t xml:space="preserve"> and vitamin D deficiency: an important, but preventable, cause of life-threatening infant heart failure. Heart 2008; 94(5): 581-584.</w:t>
      </w:r>
    </w:p>
    <w:p w14:paraId="6B02C3E0" w14:textId="77777777" w:rsidR="00E82BE8" w:rsidRPr="00C23543" w:rsidRDefault="00E82BE8" w:rsidP="007D32F8">
      <w:pPr>
        <w:ind w:left="426" w:hanging="426"/>
      </w:pPr>
      <w:r w:rsidRPr="00C23543">
        <w:t>8.</w:t>
      </w:r>
      <w:r w:rsidRPr="00C23543">
        <w:tab/>
      </w:r>
      <w:proofErr w:type="spellStart"/>
      <w:r w:rsidRPr="00C23543">
        <w:t>Zuckerberg</w:t>
      </w:r>
      <w:proofErr w:type="spellEnd"/>
      <w:r w:rsidRPr="00C23543">
        <w:t xml:space="preserve"> AL, </w:t>
      </w:r>
      <w:proofErr w:type="spellStart"/>
      <w:r w:rsidRPr="00C23543">
        <w:t>Lefton</w:t>
      </w:r>
      <w:proofErr w:type="spellEnd"/>
      <w:r w:rsidRPr="00C23543">
        <w:t xml:space="preserve">-Greif MA. </w:t>
      </w:r>
      <w:proofErr w:type="gramStart"/>
      <w:r w:rsidRPr="00C23543">
        <w:t>Nutrition and metabolism in the critically ill child with cardiac disease.</w:t>
      </w:r>
      <w:proofErr w:type="gramEnd"/>
      <w:r w:rsidRPr="00C23543">
        <w:t xml:space="preserve"> In: Nichols DG, </w:t>
      </w:r>
      <w:proofErr w:type="spellStart"/>
      <w:r w:rsidRPr="00C23543">
        <w:t>Ungerleider</w:t>
      </w:r>
      <w:proofErr w:type="spellEnd"/>
      <w:r w:rsidRPr="00C23543">
        <w:t xml:space="preserve"> RM, </w:t>
      </w:r>
      <w:proofErr w:type="spellStart"/>
      <w:r w:rsidRPr="00C23543">
        <w:t>Spevak</w:t>
      </w:r>
      <w:proofErr w:type="spellEnd"/>
      <w:r w:rsidRPr="00C23543">
        <w:t xml:space="preserve"> PJ, Greeley WJ, Cameron DE, </w:t>
      </w:r>
      <w:proofErr w:type="spellStart"/>
      <w:r w:rsidRPr="00C23543">
        <w:t>Lappe</w:t>
      </w:r>
      <w:proofErr w:type="spellEnd"/>
      <w:r w:rsidRPr="00C23543">
        <w:t xml:space="preserve"> DG, et al., editors. </w:t>
      </w:r>
      <w:proofErr w:type="gramStart"/>
      <w:r w:rsidRPr="00C23543">
        <w:t>Critical Heart Disease in Infants and Children.</w:t>
      </w:r>
      <w:proofErr w:type="gramEnd"/>
      <w:r w:rsidRPr="00C23543">
        <w:t xml:space="preserve"> 2nd ed. Philadelphia: Elsevier; 2006. p. 379-403.</w:t>
      </w:r>
    </w:p>
    <w:p w14:paraId="64215CE3" w14:textId="77777777" w:rsidR="00A81EBF" w:rsidRDefault="00A81EBF" w:rsidP="007D32F8">
      <w:pPr>
        <w:ind w:left="426" w:hanging="426"/>
        <w:rPr>
          <w:lang w:val="pt-BR"/>
        </w:rPr>
      </w:pPr>
      <w:r w:rsidRPr="00C23543">
        <w:t>9.</w:t>
      </w:r>
      <w:r w:rsidRPr="00C23543">
        <w:tab/>
        <w:t xml:space="preserve">Gordon CM, Feldman HA, Sinclair L, Williams AL, </w:t>
      </w:r>
      <w:proofErr w:type="spellStart"/>
      <w:r w:rsidRPr="00C23543">
        <w:t>Kleinman</w:t>
      </w:r>
      <w:proofErr w:type="spellEnd"/>
      <w:r w:rsidRPr="00C23543">
        <w:t xml:space="preserve"> PK, Perez-</w:t>
      </w:r>
      <w:proofErr w:type="spellStart"/>
      <w:r w:rsidRPr="00C23543">
        <w:t>Rossello</w:t>
      </w:r>
      <w:proofErr w:type="spellEnd"/>
      <w:r w:rsidRPr="00C23543">
        <w:t xml:space="preserve"> J, Cox JE. </w:t>
      </w:r>
      <w:proofErr w:type="gramStart"/>
      <w:r w:rsidRPr="00C23543">
        <w:t>Prevalence of Vitamin D Deficiency Among Healthy Infants and Toddlers.</w:t>
      </w:r>
      <w:proofErr w:type="gramEnd"/>
      <w:r w:rsidRPr="00C23543">
        <w:t xml:space="preserve"> </w:t>
      </w:r>
      <w:proofErr w:type="spellStart"/>
      <w:r>
        <w:rPr>
          <w:lang w:val="pt-BR"/>
        </w:rPr>
        <w:t>Arch</w:t>
      </w:r>
      <w:proofErr w:type="spellEnd"/>
      <w:r>
        <w:rPr>
          <w:lang w:val="pt-BR"/>
        </w:rPr>
        <w:t xml:space="preserve"> </w:t>
      </w:r>
      <w:proofErr w:type="spellStart"/>
      <w:r>
        <w:rPr>
          <w:lang w:val="pt-BR"/>
        </w:rPr>
        <w:t>Pediatr</w:t>
      </w:r>
      <w:proofErr w:type="spellEnd"/>
      <w:r>
        <w:rPr>
          <w:lang w:val="pt-BR"/>
        </w:rPr>
        <w:t xml:space="preserve"> </w:t>
      </w:r>
      <w:proofErr w:type="spellStart"/>
      <w:r>
        <w:rPr>
          <w:lang w:val="pt-BR"/>
        </w:rPr>
        <w:t>Adolesc</w:t>
      </w:r>
      <w:proofErr w:type="spellEnd"/>
      <w:r>
        <w:rPr>
          <w:lang w:val="pt-BR"/>
        </w:rPr>
        <w:t xml:space="preserve"> </w:t>
      </w:r>
      <w:proofErr w:type="spellStart"/>
      <w:r>
        <w:rPr>
          <w:lang w:val="pt-BR"/>
        </w:rPr>
        <w:t>Med</w:t>
      </w:r>
      <w:proofErr w:type="spellEnd"/>
      <w:r>
        <w:rPr>
          <w:lang w:val="pt-BR"/>
        </w:rPr>
        <w:t xml:space="preserve"> 2008; 162(6): 505-512.</w:t>
      </w:r>
    </w:p>
    <w:sectPr w:rsidR="00A81EBF" w:rsidSect="00BA2A8C">
      <w:headerReference w:type="default" r:id="rId8"/>
      <w:footerReference w:type="default" r:id="rId9"/>
      <w:headerReference w:type="first" r:id="rId10"/>
      <w:footerReference w:type="first" r:id="rId11"/>
      <w:footnotePr>
        <w:numFmt w:val="chicago"/>
      </w:footnotePr>
      <w:pgSz w:w="11901" w:h="16840"/>
      <w:pgMar w:top="1134" w:right="851" w:bottom="1134" w:left="851"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B5BEB" w14:textId="77777777" w:rsidR="0066734F" w:rsidRDefault="0066734F">
      <w:r>
        <w:separator/>
      </w:r>
    </w:p>
  </w:endnote>
  <w:endnote w:type="continuationSeparator" w:id="0">
    <w:p w14:paraId="05495038" w14:textId="77777777" w:rsidR="0066734F" w:rsidRDefault="0066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209DA" w14:textId="77777777" w:rsidR="00ED121F" w:rsidRPr="00E82BE8" w:rsidRDefault="00ED121F" w:rsidP="00E82BE8">
    <w:pPr>
      <w:pBdr>
        <w:top w:val="single" w:sz="4" w:space="1" w:color="auto"/>
      </w:pBdr>
      <w:tabs>
        <w:tab w:val="center" w:pos="5103"/>
        <w:tab w:val="right" w:pos="10199"/>
      </w:tabs>
      <w:jc w:val="left"/>
    </w:pPr>
    <w:proofErr w:type="spellStart"/>
    <w:r>
      <w:t>Versão</w:t>
    </w:r>
    <w:proofErr w:type="spellEnd"/>
    <w:r>
      <w:t xml:space="preserve"> </w:t>
    </w:r>
    <w:r w:rsidR="00B842B8">
      <w:t>3</w:t>
    </w:r>
    <w:r>
      <w:tab/>
    </w:r>
    <w:r w:rsidR="00B842B8">
      <w:t>16</w:t>
    </w:r>
    <w:r>
      <w:t>-</w:t>
    </w:r>
    <w:r w:rsidR="00B842B8">
      <w:t>10</w:t>
    </w:r>
    <w:r>
      <w:t>-2012</w:t>
    </w:r>
    <w:r>
      <w:tab/>
    </w:r>
    <w:proofErr w:type="spellStart"/>
    <w:r>
      <w:t>Página</w:t>
    </w:r>
    <w:proofErr w:type="spellEnd"/>
    <w:r>
      <w:t xml:space="preserve"> </w:t>
    </w:r>
    <w:r w:rsidR="003008CD">
      <w:rPr>
        <w:rStyle w:val="PageNumber"/>
      </w:rPr>
      <w:fldChar w:fldCharType="begin"/>
    </w:r>
    <w:r>
      <w:rPr>
        <w:rStyle w:val="PageNumber"/>
      </w:rPr>
      <w:instrText xml:space="preserve"> PAGE </w:instrText>
    </w:r>
    <w:r w:rsidR="003008CD">
      <w:rPr>
        <w:rStyle w:val="PageNumber"/>
      </w:rPr>
      <w:fldChar w:fldCharType="separate"/>
    </w:r>
    <w:r w:rsidR="00EB51FC">
      <w:rPr>
        <w:rStyle w:val="PageNumber"/>
        <w:noProof/>
      </w:rPr>
      <w:t>2</w:t>
    </w:r>
    <w:r w:rsidR="003008CD">
      <w:rPr>
        <w:rStyle w:val="PageNumber"/>
      </w:rPr>
      <w:fldChar w:fldCharType="end"/>
    </w:r>
    <w:r>
      <w:rPr>
        <w:rStyle w:val="PageNumber"/>
      </w:rPr>
      <w:t>/</w:t>
    </w:r>
    <w:r w:rsidR="00EB51FC">
      <w:fldChar w:fldCharType="begin"/>
    </w:r>
    <w:r w:rsidR="00EB51FC">
      <w:instrText xml:space="preserve"> NUMPAGES  \* MERGEFORMAT </w:instrText>
    </w:r>
    <w:r w:rsidR="00EB51FC">
      <w:fldChar w:fldCharType="separate"/>
    </w:r>
    <w:r w:rsidR="00EB51FC" w:rsidRPr="00EB51FC">
      <w:rPr>
        <w:rStyle w:val="PageNumber"/>
        <w:noProof/>
      </w:rPr>
      <w:t>3</w:t>
    </w:r>
    <w:r w:rsidR="00EB51FC">
      <w:rPr>
        <w:rStyle w:val="PageNumbe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0FCAB" w14:textId="77777777" w:rsidR="00ED121F" w:rsidRDefault="00ED121F" w:rsidP="00E82BE8">
    <w:pPr>
      <w:pBdr>
        <w:top w:val="single" w:sz="4" w:space="1" w:color="auto"/>
      </w:pBdr>
      <w:tabs>
        <w:tab w:val="center" w:pos="5103"/>
        <w:tab w:val="right" w:pos="10199"/>
      </w:tabs>
      <w:jc w:val="left"/>
    </w:pPr>
    <w:proofErr w:type="spellStart"/>
    <w:r>
      <w:t>Versão</w:t>
    </w:r>
    <w:proofErr w:type="spellEnd"/>
    <w:r>
      <w:t xml:space="preserve"> </w:t>
    </w:r>
    <w:r w:rsidR="00B842B8">
      <w:t>3</w:t>
    </w:r>
    <w:r>
      <w:tab/>
    </w:r>
    <w:r w:rsidR="00B842B8">
      <w:t>16</w:t>
    </w:r>
    <w:r>
      <w:t>-</w:t>
    </w:r>
    <w:r w:rsidR="00B842B8">
      <w:t>10</w:t>
    </w:r>
    <w:r>
      <w:t>-2012</w:t>
    </w:r>
    <w:r>
      <w:tab/>
    </w:r>
    <w:proofErr w:type="spellStart"/>
    <w:r>
      <w:t>Página</w:t>
    </w:r>
    <w:proofErr w:type="spellEnd"/>
    <w:r>
      <w:t xml:space="preserve"> </w:t>
    </w:r>
    <w:r w:rsidR="003008CD">
      <w:rPr>
        <w:rStyle w:val="PageNumber"/>
      </w:rPr>
      <w:fldChar w:fldCharType="begin"/>
    </w:r>
    <w:r>
      <w:rPr>
        <w:rStyle w:val="PageNumber"/>
      </w:rPr>
      <w:instrText xml:space="preserve"> PAGE </w:instrText>
    </w:r>
    <w:r w:rsidR="003008CD">
      <w:rPr>
        <w:rStyle w:val="PageNumber"/>
      </w:rPr>
      <w:fldChar w:fldCharType="separate"/>
    </w:r>
    <w:r w:rsidR="00EB51FC">
      <w:rPr>
        <w:rStyle w:val="PageNumber"/>
        <w:noProof/>
      </w:rPr>
      <w:t>1</w:t>
    </w:r>
    <w:r w:rsidR="003008CD">
      <w:rPr>
        <w:rStyle w:val="PageNumber"/>
      </w:rPr>
      <w:fldChar w:fldCharType="end"/>
    </w:r>
    <w:r>
      <w:rPr>
        <w:rStyle w:val="PageNumber"/>
      </w:rPr>
      <w:t>/</w:t>
    </w:r>
    <w:r w:rsidR="00EB51FC">
      <w:fldChar w:fldCharType="begin"/>
    </w:r>
    <w:r w:rsidR="00EB51FC">
      <w:instrText xml:space="preserve"> NUMPAGES  \* MERGEFORMAT </w:instrText>
    </w:r>
    <w:r w:rsidR="00EB51FC">
      <w:fldChar w:fldCharType="separate"/>
    </w:r>
    <w:r w:rsidR="00EB51FC" w:rsidRPr="00EB51FC">
      <w:rPr>
        <w:rStyle w:val="PageNumber"/>
        <w:noProof/>
      </w:rPr>
      <w:t>3</w:t>
    </w:r>
    <w:r w:rsidR="00EB51FC">
      <w:rPr>
        <w:rStyle w:val="PageNumbe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55BAF" w14:textId="77777777" w:rsidR="0066734F" w:rsidRDefault="0066734F">
      <w:r>
        <w:separator/>
      </w:r>
    </w:p>
  </w:footnote>
  <w:footnote w:type="continuationSeparator" w:id="0">
    <w:p w14:paraId="724970E6" w14:textId="77777777" w:rsidR="0066734F" w:rsidRDefault="006673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9BFA0" w14:textId="77777777" w:rsidR="00ED121F" w:rsidRPr="00C23543" w:rsidRDefault="00ED121F" w:rsidP="00BA2A8C">
    <w:pPr>
      <w:pStyle w:val="Heading1"/>
      <w:ind w:left="851"/>
      <w:jc w:val="right"/>
      <w:rPr>
        <w:lang w:val="pt-BR"/>
      </w:rPr>
    </w:pPr>
    <w:r w:rsidRPr="00C23543">
      <w:rPr>
        <w:lang w:val="pt-BR"/>
      </w:rPr>
      <w:t>COMITÊ DE REVISÃO CIENTÍFICA – DPP-FMRP-USP</w:t>
    </w:r>
  </w:p>
  <w:p w14:paraId="6FF91AB7" w14:textId="77777777" w:rsidR="00ED121F" w:rsidRPr="00C23543" w:rsidRDefault="00ED121F" w:rsidP="00BA2A8C">
    <w:pPr>
      <w:pStyle w:val="Header"/>
      <w:pBdr>
        <w:bottom w:val="single" w:sz="4" w:space="1" w:color="auto"/>
      </w:pBdr>
      <w:rPr>
        <w:lang w:val="pt-BR"/>
      </w:rPr>
    </w:pPr>
  </w:p>
  <w:p w14:paraId="4282C429" w14:textId="77777777" w:rsidR="00ED121F" w:rsidRPr="00C23543" w:rsidRDefault="00ED121F" w:rsidP="00BA2A8C">
    <w:pPr>
      <w:pStyle w:val="Header"/>
      <w:rPr>
        <w:lang w:val="pt-B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70427" w14:textId="77777777" w:rsidR="00ED121F" w:rsidRDefault="00ED121F" w:rsidP="00BA2A8C">
    <w:pPr>
      <w:pStyle w:val="Heading1"/>
      <w:ind w:left="851"/>
      <w:jc w:val="right"/>
    </w:pPr>
    <w:r>
      <w:rPr>
        <w:noProof/>
      </w:rPr>
      <w:drawing>
        <wp:anchor distT="0" distB="0" distL="114300" distR="114300" simplePos="0" relativeHeight="251657728" behindDoc="0" locked="0" layoutInCell="1" allowOverlap="1" wp14:anchorId="5048624E" wp14:editId="03F03D48">
          <wp:simplePos x="0" y="0"/>
          <wp:positionH relativeFrom="column">
            <wp:posOffset>-17145</wp:posOffset>
          </wp:positionH>
          <wp:positionV relativeFrom="paragraph">
            <wp:posOffset>2540</wp:posOffset>
          </wp:positionV>
          <wp:extent cx="503555" cy="720090"/>
          <wp:effectExtent l="0" t="0" r="4445" b="0"/>
          <wp:wrapSquare wrapText="bothSides"/>
          <wp:docPr id="3" name="Picture 3" descr="brasao_fm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_fm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720090"/>
                  </a:xfrm>
                  <a:prstGeom prst="rect">
                    <a:avLst/>
                  </a:prstGeom>
                  <a:noFill/>
                  <a:ln>
                    <a:noFill/>
                  </a:ln>
                </pic:spPr>
              </pic:pic>
            </a:graphicData>
          </a:graphic>
        </wp:anchor>
      </w:drawing>
    </w:r>
  </w:p>
  <w:p w14:paraId="3F36F3A8" w14:textId="77777777" w:rsidR="00ED121F" w:rsidRPr="00C23543" w:rsidRDefault="00ED121F" w:rsidP="00BA2A8C">
    <w:pPr>
      <w:pStyle w:val="Heading1"/>
      <w:ind w:left="851"/>
      <w:jc w:val="right"/>
      <w:rPr>
        <w:lang w:val="pt-BR"/>
      </w:rPr>
    </w:pPr>
    <w:r w:rsidRPr="00C23543">
      <w:rPr>
        <w:lang w:val="pt-BR"/>
      </w:rPr>
      <w:t>FACULDADE DE MEDICINA DE RIBEIRÃO PRETO DA UNIVERSIDADE DE SÃO PAULO</w:t>
    </w:r>
  </w:p>
  <w:p w14:paraId="3A2E434F" w14:textId="77777777" w:rsidR="00ED121F" w:rsidRPr="00C23543" w:rsidRDefault="00ED121F" w:rsidP="00BA2A8C">
    <w:pPr>
      <w:pStyle w:val="Heading1"/>
      <w:ind w:left="851"/>
      <w:jc w:val="right"/>
      <w:rPr>
        <w:lang w:val="pt-BR"/>
      </w:rPr>
    </w:pPr>
    <w:r w:rsidRPr="00C23543">
      <w:rPr>
        <w:lang w:val="pt-BR"/>
      </w:rPr>
      <w:t>DEPARTAMENTO DE PUERICULTURA E PEDIATRIA</w:t>
    </w:r>
  </w:p>
  <w:p w14:paraId="1BD8FEED" w14:textId="77777777" w:rsidR="00ED121F" w:rsidRPr="00C23543" w:rsidRDefault="00ED121F" w:rsidP="00BA2A8C">
    <w:pPr>
      <w:pStyle w:val="Heading1"/>
      <w:ind w:left="851"/>
      <w:jc w:val="right"/>
      <w:rPr>
        <w:lang w:val="pt-BR"/>
      </w:rPr>
    </w:pPr>
    <w:r w:rsidRPr="00C23543">
      <w:rPr>
        <w:lang w:val="pt-BR"/>
      </w:rPr>
      <w:t>COMITÊ DE REVISÃO CIENTÍFICA</w:t>
    </w:r>
  </w:p>
  <w:p w14:paraId="6EB879AD" w14:textId="77777777" w:rsidR="00ED121F" w:rsidRPr="00C23543" w:rsidRDefault="00ED121F" w:rsidP="00BA2A8C">
    <w:pPr>
      <w:pStyle w:val="Header"/>
      <w:pBdr>
        <w:bottom w:val="single" w:sz="4" w:space="1" w:color="auto"/>
      </w:pBdr>
      <w:rPr>
        <w:lang w:val="pt-BR"/>
      </w:rPr>
    </w:pPr>
  </w:p>
  <w:p w14:paraId="3620C8CD" w14:textId="77777777" w:rsidR="00ED121F" w:rsidRPr="00C23543" w:rsidRDefault="00ED121F" w:rsidP="00BA2A8C">
    <w:pPr>
      <w:pStyle w:val="Header"/>
      <w:rPr>
        <w:lang w:val="pt-B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5B66"/>
    <w:multiLevelType w:val="hybridMultilevel"/>
    <w:tmpl w:val="8B6AE664"/>
    <w:lvl w:ilvl="0" w:tplc="2FECF9B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61137B"/>
    <w:multiLevelType w:val="hybridMultilevel"/>
    <w:tmpl w:val="2050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44B05"/>
    <w:multiLevelType w:val="hybridMultilevel"/>
    <w:tmpl w:val="6BC279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BC177F"/>
    <w:multiLevelType w:val="singleLevel"/>
    <w:tmpl w:val="0409000F"/>
    <w:lvl w:ilvl="0">
      <w:start w:val="1"/>
      <w:numFmt w:val="decimal"/>
      <w:lvlText w:val="%1."/>
      <w:lvlJc w:val="left"/>
      <w:pPr>
        <w:tabs>
          <w:tab w:val="num" w:pos="360"/>
        </w:tabs>
        <w:ind w:left="360" w:hanging="360"/>
      </w:pPr>
    </w:lvl>
  </w:abstractNum>
  <w:abstractNum w:abstractNumId="4">
    <w:nsid w:val="30737A6D"/>
    <w:multiLevelType w:val="hybridMultilevel"/>
    <w:tmpl w:val="6CAA3792"/>
    <w:lvl w:ilvl="0" w:tplc="402C640A">
      <w:numFmt w:val="bullet"/>
      <w:lvlText w:val=""/>
      <w:lvlJc w:val="left"/>
      <w:pPr>
        <w:tabs>
          <w:tab w:val="num" w:pos="720"/>
        </w:tabs>
        <w:ind w:left="720" w:hanging="36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292D62"/>
    <w:multiLevelType w:val="singleLevel"/>
    <w:tmpl w:val="96C22090"/>
    <w:lvl w:ilvl="0">
      <w:numFmt w:val="bullet"/>
      <w:lvlText w:val=""/>
      <w:lvlJc w:val="left"/>
      <w:pPr>
        <w:tabs>
          <w:tab w:val="num" w:pos="360"/>
        </w:tabs>
        <w:ind w:left="360" w:hanging="360"/>
      </w:pPr>
      <w:rPr>
        <w:rFonts w:ascii="Symbol" w:hAnsi="Symbol" w:hint="default"/>
        <w:b w:val="0"/>
      </w:rPr>
    </w:lvl>
  </w:abstractNum>
  <w:abstractNum w:abstractNumId="6">
    <w:nsid w:val="428A67EE"/>
    <w:multiLevelType w:val="hybridMultilevel"/>
    <w:tmpl w:val="44B8B244"/>
    <w:lvl w:ilvl="0" w:tplc="DC2C24A6">
      <w:numFmt w:val="bullet"/>
      <w:lvlText w:val=""/>
      <w:lvlJc w:val="left"/>
      <w:pPr>
        <w:tabs>
          <w:tab w:val="num" w:pos="435"/>
        </w:tabs>
        <w:ind w:left="435" w:hanging="360"/>
      </w:pPr>
      <w:rPr>
        <w:rFonts w:ascii="Wingdings 3" w:eastAsia="Times New Roman" w:hAnsi="Wingdings 3"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7">
    <w:nsid w:val="47350E24"/>
    <w:multiLevelType w:val="hybridMultilevel"/>
    <w:tmpl w:val="364A2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3C6865"/>
    <w:multiLevelType w:val="hybridMultilevel"/>
    <w:tmpl w:val="2688AD56"/>
    <w:lvl w:ilvl="0" w:tplc="D78CD334">
      <w:numFmt w:val="bullet"/>
      <w:lvlText w:val=""/>
      <w:lvlJc w:val="left"/>
      <w:pPr>
        <w:tabs>
          <w:tab w:val="num" w:pos="720"/>
        </w:tabs>
        <w:ind w:left="720" w:hanging="36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E555D9"/>
    <w:multiLevelType w:val="hybridMultilevel"/>
    <w:tmpl w:val="BFC47818"/>
    <w:lvl w:ilvl="0" w:tplc="53EAB4A6">
      <w:start w:val="1997"/>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49391D"/>
    <w:multiLevelType w:val="hybridMultilevel"/>
    <w:tmpl w:val="BE80D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C3651F"/>
    <w:multiLevelType w:val="hybridMultilevel"/>
    <w:tmpl w:val="5CBA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0"/>
  </w:num>
  <w:num w:numId="5">
    <w:abstractNumId w:val="3"/>
  </w:num>
  <w:num w:numId="6">
    <w:abstractNumId w:val="5"/>
  </w:num>
  <w:num w:numId="7">
    <w:abstractNumId w:val="6"/>
  </w:num>
  <w:num w:numId="8">
    <w:abstractNumId w:val="2"/>
  </w:num>
  <w:num w:numId="9">
    <w:abstractNumId w:val="10"/>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21C"/>
    <w:rsid w:val="000051E2"/>
    <w:rsid w:val="0001599B"/>
    <w:rsid w:val="00023C2B"/>
    <w:rsid w:val="000809FE"/>
    <w:rsid w:val="000A3503"/>
    <w:rsid w:val="000A4C21"/>
    <w:rsid w:val="000A7DB2"/>
    <w:rsid w:val="000B1D45"/>
    <w:rsid w:val="000C0194"/>
    <w:rsid w:val="000C1694"/>
    <w:rsid w:val="000C2850"/>
    <w:rsid w:val="000D3D4D"/>
    <w:rsid w:val="000F4E6A"/>
    <w:rsid w:val="00100CD7"/>
    <w:rsid w:val="00115E24"/>
    <w:rsid w:val="00147C1C"/>
    <w:rsid w:val="0016294F"/>
    <w:rsid w:val="00170718"/>
    <w:rsid w:val="00173A5B"/>
    <w:rsid w:val="00176A8B"/>
    <w:rsid w:val="001E062D"/>
    <w:rsid w:val="00206203"/>
    <w:rsid w:val="0021280E"/>
    <w:rsid w:val="00222AD1"/>
    <w:rsid w:val="00246977"/>
    <w:rsid w:val="002714D5"/>
    <w:rsid w:val="003008CD"/>
    <w:rsid w:val="00302B73"/>
    <w:rsid w:val="003062FD"/>
    <w:rsid w:val="00310537"/>
    <w:rsid w:val="003329A6"/>
    <w:rsid w:val="00337568"/>
    <w:rsid w:val="003419BE"/>
    <w:rsid w:val="003449C3"/>
    <w:rsid w:val="00391C98"/>
    <w:rsid w:val="003C1353"/>
    <w:rsid w:val="0041009F"/>
    <w:rsid w:val="004440D4"/>
    <w:rsid w:val="00450EDF"/>
    <w:rsid w:val="0045242E"/>
    <w:rsid w:val="004600E6"/>
    <w:rsid w:val="004818AD"/>
    <w:rsid w:val="00487035"/>
    <w:rsid w:val="004B74A5"/>
    <w:rsid w:val="004C319D"/>
    <w:rsid w:val="004E4438"/>
    <w:rsid w:val="00504042"/>
    <w:rsid w:val="005056CE"/>
    <w:rsid w:val="0050792F"/>
    <w:rsid w:val="00523C59"/>
    <w:rsid w:val="00524C5C"/>
    <w:rsid w:val="0053437B"/>
    <w:rsid w:val="00534545"/>
    <w:rsid w:val="00543A23"/>
    <w:rsid w:val="005733A8"/>
    <w:rsid w:val="005D33F8"/>
    <w:rsid w:val="005F021C"/>
    <w:rsid w:val="0060348A"/>
    <w:rsid w:val="00622F3D"/>
    <w:rsid w:val="00655884"/>
    <w:rsid w:val="00663460"/>
    <w:rsid w:val="0066734F"/>
    <w:rsid w:val="00691E54"/>
    <w:rsid w:val="00695DAC"/>
    <w:rsid w:val="00695FB9"/>
    <w:rsid w:val="006D5CDD"/>
    <w:rsid w:val="007619CF"/>
    <w:rsid w:val="00765528"/>
    <w:rsid w:val="007673C2"/>
    <w:rsid w:val="0079406E"/>
    <w:rsid w:val="007A0A8F"/>
    <w:rsid w:val="007A57E6"/>
    <w:rsid w:val="007D09DE"/>
    <w:rsid w:val="007D32F8"/>
    <w:rsid w:val="007D3BB9"/>
    <w:rsid w:val="007E52BC"/>
    <w:rsid w:val="007E6E82"/>
    <w:rsid w:val="00802786"/>
    <w:rsid w:val="00804B0E"/>
    <w:rsid w:val="00822CA7"/>
    <w:rsid w:val="008355C7"/>
    <w:rsid w:val="008615AE"/>
    <w:rsid w:val="00866564"/>
    <w:rsid w:val="00892C35"/>
    <w:rsid w:val="00895175"/>
    <w:rsid w:val="008B331F"/>
    <w:rsid w:val="00926456"/>
    <w:rsid w:val="00943219"/>
    <w:rsid w:val="00960164"/>
    <w:rsid w:val="009A6EE2"/>
    <w:rsid w:val="009B6FE4"/>
    <w:rsid w:val="009C2884"/>
    <w:rsid w:val="009C401C"/>
    <w:rsid w:val="009C71ED"/>
    <w:rsid w:val="009D5D8B"/>
    <w:rsid w:val="009E6FDF"/>
    <w:rsid w:val="00A67E04"/>
    <w:rsid w:val="00A81EBF"/>
    <w:rsid w:val="00A91AD6"/>
    <w:rsid w:val="00B45784"/>
    <w:rsid w:val="00B46F0C"/>
    <w:rsid w:val="00B6109A"/>
    <w:rsid w:val="00B633F2"/>
    <w:rsid w:val="00B842B8"/>
    <w:rsid w:val="00B97AF7"/>
    <w:rsid w:val="00BA2A8C"/>
    <w:rsid w:val="00BB1CEC"/>
    <w:rsid w:val="00BB2492"/>
    <w:rsid w:val="00BD030B"/>
    <w:rsid w:val="00C23543"/>
    <w:rsid w:val="00C55ADD"/>
    <w:rsid w:val="00CF195B"/>
    <w:rsid w:val="00D109E5"/>
    <w:rsid w:val="00D76371"/>
    <w:rsid w:val="00DF1DFF"/>
    <w:rsid w:val="00E00960"/>
    <w:rsid w:val="00E36556"/>
    <w:rsid w:val="00E566AD"/>
    <w:rsid w:val="00E754A4"/>
    <w:rsid w:val="00E82BE8"/>
    <w:rsid w:val="00EA1509"/>
    <w:rsid w:val="00EB51FC"/>
    <w:rsid w:val="00ED121F"/>
    <w:rsid w:val="00ED2941"/>
    <w:rsid w:val="00ED3164"/>
    <w:rsid w:val="00EE2F6A"/>
    <w:rsid w:val="00EE7C35"/>
    <w:rsid w:val="00F07CA3"/>
    <w:rsid w:val="00F36CFA"/>
    <w:rsid w:val="00F404A0"/>
    <w:rsid w:val="00F633AA"/>
    <w:rsid w:val="00F819DD"/>
    <w:rsid w:val="00F91478"/>
    <w:rsid w:val="00FA17D6"/>
    <w:rsid w:val="00FC08BC"/>
    <w:rsid w:val="00FC35E9"/>
    <w:rsid w:val="00FD144A"/>
    <w:rsid w:val="00FE59E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CD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A8C"/>
    <w:pPr>
      <w:jc w:val="both"/>
    </w:pPr>
    <w:rPr>
      <w:rFonts w:ascii="Helvetica" w:hAnsi="Helvetica"/>
      <w:lang w:val="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b/>
      <w:bCs/>
      <w:sz w:val="24"/>
      <w:u w:val="single"/>
    </w:rPr>
  </w:style>
  <w:style w:type="paragraph" w:styleId="Heading5">
    <w:name w:val="heading 5"/>
    <w:basedOn w:val="Normal"/>
    <w:next w:val="Normal"/>
    <w:qFormat/>
    <w:pPr>
      <w:keepNext/>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sz w:val="28"/>
    </w:rPr>
  </w:style>
  <w:style w:type="paragraph" w:styleId="Title">
    <w:name w:val="Title"/>
    <w:basedOn w:val="Normal"/>
    <w:qFormat/>
    <w:rsid w:val="00BA2A8C"/>
    <w:pPr>
      <w:jc w:val="center"/>
    </w:pPr>
    <w:rPr>
      <w:b/>
      <w:sz w:val="24"/>
    </w:rPr>
  </w:style>
  <w:style w:type="table" w:styleId="TableGrid">
    <w:name w:val="Table Grid"/>
    <w:basedOn w:val="TableNormal"/>
    <w:rsid w:val="005F0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1009F"/>
    <w:pPr>
      <w:tabs>
        <w:tab w:val="center" w:pos="4320"/>
        <w:tab w:val="right" w:pos="8640"/>
      </w:tabs>
    </w:pPr>
  </w:style>
  <w:style w:type="paragraph" w:styleId="Footer">
    <w:name w:val="footer"/>
    <w:basedOn w:val="Normal"/>
    <w:rsid w:val="0041009F"/>
    <w:pPr>
      <w:tabs>
        <w:tab w:val="center" w:pos="4320"/>
        <w:tab w:val="right" w:pos="8640"/>
      </w:tabs>
    </w:pPr>
  </w:style>
  <w:style w:type="paragraph" w:styleId="BalloonText">
    <w:name w:val="Balloon Text"/>
    <w:basedOn w:val="Normal"/>
    <w:semiHidden/>
    <w:rsid w:val="00E566AD"/>
    <w:rPr>
      <w:rFonts w:ascii="Tahoma" w:hAnsi="Tahoma" w:cs="Tahoma"/>
      <w:sz w:val="16"/>
      <w:szCs w:val="16"/>
    </w:rPr>
  </w:style>
  <w:style w:type="character" w:styleId="PageNumber">
    <w:name w:val="page number"/>
    <w:rsid w:val="000A7DB2"/>
  </w:style>
  <w:style w:type="paragraph" w:styleId="FootnoteText">
    <w:name w:val="footnote text"/>
    <w:basedOn w:val="Normal"/>
    <w:link w:val="FootnoteTextChar"/>
    <w:rsid w:val="00B46F0C"/>
    <w:rPr>
      <w:sz w:val="24"/>
      <w:szCs w:val="24"/>
    </w:rPr>
  </w:style>
  <w:style w:type="character" w:customStyle="1" w:styleId="FootnoteTextChar">
    <w:name w:val="Footnote Text Char"/>
    <w:link w:val="FootnoteText"/>
    <w:rsid w:val="00B46F0C"/>
    <w:rPr>
      <w:rFonts w:ascii="Helvetica" w:hAnsi="Helvetica"/>
      <w:sz w:val="24"/>
      <w:szCs w:val="24"/>
      <w:lang w:val="en-US"/>
    </w:rPr>
  </w:style>
  <w:style w:type="character" w:styleId="FootnoteReference">
    <w:name w:val="footnote reference"/>
    <w:rsid w:val="00B46F0C"/>
    <w:rPr>
      <w:vertAlign w:val="superscript"/>
    </w:rPr>
  </w:style>
  <w:style w:type="paragraph" w:styleId="ListParagraph">
    <w:name w:val="List Paragraph"/>
    <w:basedOn w:val="Normal"/>
    <w:uiPriority w:val="34"/>
    <w:qFormat/>
    <w:rsid w:val="00222AD1"/>
    <w:pPr>
      <w:ind w:left="720"/>
      <w:contextualSpacing/>
    </w:pPr>
  </w:style>
  <w:style w:type="character" w:styleId="CommentReference">
    <w:name w:val="annotation reference"/>
    <w:basedOn w:val="DefaultParagraphFont"/>
    <w:rsid w:val="006D5CDD"/>
    <w:rPr>
      <w:sz w:val="18"/>
      <w:szCs w:val="18"/>
    </w:rPr>
  </w:style>
  <w:style w:type="paragraph" w:styleId="CommentText">
    <w:name w:val="annotation text"/>
    <w:basedOn w:val="Normal"/>
    <w:link w:val="CommentTextChar"/>
    <w:rsid w:val="006D5CDD"/>
    <w:rPr>
      <w:sz w:val="24"/>
      <w:szCs w:val="24"/>
    </w:rPr>
  </w:style>
  <w:style w:type="character" w:customStyle="1" w:styleId="CommentTextChar">
    <w:name w:val="Comment Text Char"/>
    <w:basedOn w:val="DefaultParagraphFont"/>
    <w:link w:val="CommentText"/>
    <w:rsid w:val="006D5CDD"/>
    <w:rPr>
      <w:rFonts w:ascii="Helvetica" w:hAnsi="Helvetica"/>
      <w:sz w:val="24"/>
      <w:szCs w:val="24"/>
      <w:lang w:val="en-US"/>
    </w:rPr>
  </w:style>
  <w:style w:type="paragraph" w:styleId="CommentSubject">
    <w:name w:val="annotation subject"/>
    <w:basedOn w:val="CommentText"/>
    <w:next w:val="CommentText"/>
    <w:link w:val="CommentSubjectChar"/>
    <w:rsid w:val="006D5CDD"/>
    <w:rPr>
      <w:b/>
      <w:bCs/>
      <w:sz w:val="20"/>
      <w:szCs w:val="20"/>
    </w:rPr>
  </w:style>
  <w:style w:type="character" w:customStyle="1" w:styleId="CommentSubjectChar">
    <w:name w:val="Comment Subject Char"/>
    <w:basedOn w:val="CommentTextChar"/>
    <w:link w:val="CommentSubject"/>
    <w:rsid w:val="006D5CDD"/>
    <w:rPr>
      <w:rFonts w:ascii="Helvetica" w:hAnsi="Helvetica"/>
      <w:b/>
      <w:bCs/>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A8C"/>
    <w:pPr>
      <w:jc w:val="both"/>
    </w:pPr>
    <w:rPr>
      <w:rFonts w:ascii="Helvetica" w:hAnsi="Helvetica"/>
      <w:lang w:val="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b/>
      <w:bCs/>
      <w:sz w:val="24"/>
      <w:u w:val="single"/>
    </w:rPr>
  </w:style>
  <w:style w:type="paragraph" w:styleId="Heading5">
    <w:name w:val="heading 5"/>
    <w:basedOn w:val="Normal"/>
    <w:next w:val="Normal"/>
    <w:qFormat/>
    <w:pPr>
      <w:keepNext/>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sz w:val="28"/>
    </w:rPr>
  </w:style>
  <w:style w:type="paragraph" w:styleId="Title">
    <w:name w:val="Title"/>
    <w:basedOn w:val="Normal"/>
    <w:qFormat/>
    <w:rsid w:val="00BA2A8C"/>
    <w:pPr>
      <w:jc w:val="center"/>
    </w:pPr>
    <w:rPr>
      <w:b/>
      <w:sz w:val="24"/>
    </w:rPr>
  </w:style>
  <w:style w:type="table" w:styleId="TableGrid">
    <w:name w:val="Table Grid"/>
    <w:basedOn w:val="TableNormal"/>
    <w:rsid w:val="005F0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1009F"/>
    <w:pPr>
      <w:tabs>
        <w:tab w:val="center" w:pos="4320"/>
        <w:tab w:val="right" w:pos="8640"/>
      </w:tabs>
    </w:pPr>
  </w:style>
  <w:style w:type="paragraph" w:styleId="Footer">
    <w:name w:val="footer"/>
    <w:basedOn w:val="Normal"/>
    <w:rsid w:val="0041009F"/>
    <w:pPr>
      <w:tabs>
        <w:tab w:val="center" w:pos="4320"/>
        <w:tab w:val="right" w:pos="8640"/>
      </w:tabs>
    </w:pPr>
  </w:style>
  <w:style w:type="paragraph" w:styleId="BalloonText">
    <w:name w:val="Balloon Text"/>
    <w:basedOn w:val="Normal"/>
    <w:semiHidden/>
    <w:rsid w:val="00E566AD"/>
    <w:rPr>
      <w:rFonts w:ascii="Tahoma" w:hAnsi="Tahoma" w:cs="Tahoma"/>
      <w:sz w:val="16"/>
      <w:szCs w:val="16"/>
    </w:rPr>
  </w:style>
  <w:style w:type="character" w:styleId="PageNumber">
    <w:name w:val="page number"/>
    <w:rsid w:val="000A7DB2"/>
  </w:style>
  <w:style w:type="paragraph" w:styleId="FootnoteText">
    <w:name w:val="footnote text"/>
    <w:basedOn w:val="Normal"/>
    <w:link w:val="FootnoteTextChar"/>
    <w:rsid w:val="00B46F0C"/>
    <w:rPr>
      <w:sz w:val="24"/>
      <w:szCs w:val="24"/>
    </w:rPr>
  </w:style>
  <w:style w:type="character" w:customStyle="1" w:styleId="FootnoteTextChar">
    <w:name w:val="Footnote Text Char"/>
    <w:link w:val="FootnoteText"/>
    <w:rsid w:val="00B46F0C"/>
    <w:rPr>
      <w:rFonts w:ascii="Helvetica" w:hAnsi="Helvetica"/>
      <w:sz w:val="24"/>
      <w:szCs w:val="24"/>
      <w:lang w:val="en-US"/>
    </w:rPr>
  </w:style>
  <w:style w:type="character" w:styleId="FootnoteReference">
    <w:name w:val="footnote reference"/>
    <w:rsid w:val="00B46F0C"/>
    <w:rPr>
      <w:vertAlign w:val="superscript"/>
    </w:rPr>
  </w:style>
  <w:style w:type="paragraph" w:styleId="ListParagraph">
    <w:name w:val="List Paragraph"/>
    <w:basedOn w:val="Normal"/>
    <w:uiPriority w:val="34"/>
    <w:qFormat/>
    <w:rsid w:val="00222AD1"/>
    <w:pPr>
      <w:ind w:left="720"/>
      <w:contextualSpacing/>
    </w:pPr>
  </w:style>
  <w:style w:type="character" w:styleId="CommentReference">
    <w:name w:val="annotation reference"/>
    <w:basedOn w:val="DefaultParagraphFont"/>
    <w:rsid w:val="006D5CDD"/>
    <w:rPr>
      <w:sz w:val="18"/>
      <w:szCs w:val="18"/>
    </w:rPr>
  </w:style>
  <w:style w:type="paragraph" w:styleId="CommentText">
    <w:name w:val="annotation text"/>
    <w:basedOn w:val="Normal"/>
    <w:link w:val="CommentTextChar"/>
    <w:rsid w:val="006D5CDD"/>
    <w:rPr>
      <w:sz w:val="24"/>
      <w:szCs w:val="24"/>
    </w:rPr>
  </w:style>
  <w:style w:type="character" w:customStyle="1" w:styleId="CommentTextChar">
    <w:name w:val="Comment Text Char"/>
    <w:basedOn w:val="DefaultParagraphFont"/>
    <w:link w:val="CommentText"/>
    <w:rsid w:val="006D5CDD"/>
    <w:rPr>
      <w:rFonts w:ascii="Helvetica" w:hAnsi="Helvetica"/>
      <w:sz w:val="24"/>
      <w:szCs w:val="24"/>
      <w:lang w:val="en-US"/>
    </w:rPr>
  </w:style>
  <w:style w:type="paragraph" w:styleId="CommentSubject">
    <w:name w:val="annotation subject"/>
    <w:basedOn w:val="CommentText"/>
    <w:next w:val="CommentText"/>
    <w:link w:val="CommentSubjectChar"/>
    <w:rsid w:val="006D5CDD"/>
    <w:rPr>
      <w:b/>
      <w:bCs/>
      <w:sz w:val="20"/>
      <w:szCs w:val="20"/>
    </w:rPr>
  </w:style>
  <w:style w:type="character" w:customStyle="1" w:styleId="CommentSubjectChar">
    <w:name w:val="Comment Subject Char"/>
    <w:basedOn w:val="CommentTextChar"/>
    <w:link w:val="CommentSubject"/>
    <w:rsid w:val="006D5CDD"/>
    <w:rPr>
      <w:rFonts w:ascii="Helvetica" w:hAnsi="Helvetica"/>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61652">
      <w:bodyDiv w:val="1"/>
      <w:marLeft w:val="0"/>
      <w:marRight w:val="0"/>
      <w:marTop w:val="0"/>
      <w:marBottom w:val="0"/>
      <w:divBdr>
        <w:top w:val="none" w:sz="0" w:space="0" w:color="auto"/>
        <w:left w:val="none" w:sz="0" w:space="0" w:color="auto"/>
        <w:bottom w:val="none" w:sz="0" w:space="0" w:color="auto"/>
        <w:right w:val="none" w:sz="0" w:space="0" w:color="auto"/>
      </w:divBdr>
    </w:div>
    <w:div w:id="16448441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7351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GCRC Scientific Review Form</vt:lpstr>
    </vt:vector>
  </TitlesOfParts>
  <Company>Children's Hospital</Company>
  <LinksUpToDate>false</LinksUpToDate>
  <CharactersWithSpaces>8623</CharactersWithSpaces>
  <SharedDoc>false</SharedDoc>
  <HLinks>
    <vt:vector size="6" baseType="variant">
      <vt:variant>
        <vt:i4>7995424</vt:i4>
      </vt:variant>
      <vt:variant>
        <vt:i4>-1</vt:i4>
      </vt:variant>
      <vt:variant>
        <vt:i4>2051</vt:i4>
      </vt:variant>
      <vt:variant>
        <vt:i4>1</vt:i4>
      </vt:variant>
      <vt:variant>
        <vt:lpwstr>brasao_fmrp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GCRC Scientific Review Form</dc:title>
  <dc:subject/>
  <dc:creator>Kristine Jordan</dc:creator>
  <cp:keywords/>
  <cp:lastModifiedBy>Fabio Carmona</cp:lastModifiedBy>
  <cp:revision>3</cp:revision>
  <cp:lastPrinted>2013-03-27T17:52:00Z</cp:lastPrinted>
  <dcterms:created xsi:type="dcterms:W3CDTF">2013-08-12T15:37:00Z</dcterms:created>
  <dcterms:modified xsi:type="dcterms:W3CDTF">2013-08-12T15:37:00Z</dcterms:modified>
</cp:coreProperties>
</file>