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EA" w:rsidRPr="009D5217" w:rsidRDefault="009D5217" w:rsidP="002E26BA">
      <w:pPr>
        <w:spacing w:after="120"/>
        <w:jc w:val="both"/>
        <w:rPr>
          <w:rFonts w:ascii="Times New Roman" w:hAnsi="Times New Roman"/>
          <w:b/>
          <w:sz w:val="36"/>
          <w:szCs w:val="32"/>
        </w:rPr>
      </w:pPr>
      <w:r>
        <w:rPr>
          <w:rFonts w:ascii="Times New Roman" w:hAnsi="Times New Roman"/>
          <w:b/>
          <w:sz w:val="24"/>
          <w:szCs w:val="24"/>
        </w:rPr>
        <w:t xml:space="preserve">     </w:t>
      </w:r>
      <w:r w:rsidRPr="009D5217">
        <w:rPr>
          <w:rFonts w:ascii="Times New Roman" w:hAnsi="Times New Roman"/>
          <w:b/>
          <w:sz w:val="28"/>
          <w:szCs w:val="24"/>
        </w:rPr>
        <w:t xml:space="preserve"> </w:t>
      </w:r>
      <w:r w:rsidR="009643D6" w:rsidRPr="009D5217">
        <w:rPr>
          <w:rFonts w:ascii="Times New Roman" w:hAnsi="Times New Roman"/>
          <w:b/>
          <w:sz w:val="32"/>
          <w:szCs w:val="24"/>
        </w:rPr>
        <w:t xml:space="preserve"> </w:t>
      </w:r>
      <w:r w:rsidR="009643D6" w:rsidRPr="009D5217">
        <w:rPr>
          <w:rFonts w:ascii="Times New Roman" w:hAnsi="Times New Roman"/>
          <w:b/>
          <w:sz w:val="36"/>
          <w:szCs w:val="32"/>
        </w:rPr>
        <w:t>Divulgação</w:t>
      </w:r>
      <w:r w:rsidR="009220EA" w:rsidRPr="009D5217">
        <w:rPr>
          <w:rFonts w:ascii="Times New Roman" w:hAnsi="Times New Roman"/>
          <w:b/>
          <w:sz w:val="36"/>
          <w:szCs w:val="32"/>
        </w:rPr>
        <w:t xml:space="preserve"> de</w:t>
      </w:r>
      <w:r w:rsidR="009643D6" w:rsidRPr="009D5217">
        <w:rPr>
          <w:rFonts w:ascii="Times New Roman" w:hAnsi="Times New Roman"/>
          <w:b/>
          <w:sz w:val="36"/>
          <w:szCs w:val="32"/>
        </w:rPr>
        <w:t xml:space="preserve"> relatórios contábeis</w:t>
      </w:r>
      <w:r w:rsidR="009220EA" w:rsidRPr="009D5217">
        <w:rPr>
          <w:rFonts w:ascii="Times New Roman" w:hAnsi="Times New Roman"/>
          <w:b/>
          <w:sz w:val="36"/>
          <w:szCs w:val="32"/>
        </w:rPr>
        <w:t xml:space="preserve"> e adoção de normas</w:t>
      </w:r>
    </w:p>
    <w:p w:rsidR="004101F3" w:rsidRDefault="004101F3" w:rsidP="002E26BA">
      <w:pPr>
        <w:spacing w:after="120"/>
        <w:jc w:val="both"/>
        <w:rPr>
          <w:rFonts w:ascii="Times New Roman" w:hAnsi="Times New Roman"/>
          <w:b/>
          <w:sz w:val="28"/>
          <w:szCs w:val="24"/>
        </w:rPr>
      </w:pPr>
    </w:p>
    <w:p w:rsidR="004101F3" w:rsidRDefault="004101F3" w:rsidP="002E26BA">
      <w:pPr>
        <w:spacing w:after="120"/>
        <w:jc w:val="both"/>
        <w:rPr>
          <w:rFonts w:ascii="Times New Roman" w:hAnsi="Times New Roman"/>
          <w:b/>
          <w:sz w:val="28"/>
          <w:szCs w:val="24"/>
        </w:rPr>
      </w:pPr>
    </w:p>
    <w:p w:rsidR="004101F3" w:rsidRPr="009D5217" w:rsidRDefault="004101F3" w:rsidP="002E26BA">
      <w:pPr>
        <w:spacing w:after="120"/>
        <w:jc w:val="both"/>
        <w:rPr>
          <w:rFonts w:ascii="Times New Roman" w:hAnsi="Times New Roman"/>
          <w:b/>
        </w:rPr>
      </w:pPr>
    </w:p>
    <w:p w:rsidR="004101F3" w:rsidRPr="009D5217" w:rsidRDefault="004101F3" w:rsidP="002E26BA">
      <w:pPr>
        <w:spacing w:after="120"/>
        <w:jc w:val="both"/>
        <w:rPr>
          <w:rFonts w:ascii="Times New Roman" w:hAnsi="Times New Roman"/>
          <w:b/>
        </w:rPr>
      </w:pPr>
      <w:r w:rsidRPr="009D5217">
        <w:rPr>
          <w:rFonts w:ascii="Times New Roman" w:hAnsi="Times New Roman"/>
          <w:b/>
        </w:rPr>
        <w:t>Vinícius Aguiar de Oliveira</w:t>
      </w:r>
    </w:p>
    <w:p w:rsidR="009643D6" w:rsidRDefault="009643D6" w:rsidP="002E26BA">
      <w:pPr>
        <w:spacing w:after="120"/>
        <w:jc w:val="both"/>
        <w:rPr>
          <w:rFonts w:ascii="Times New Roman" w:hAnsi="Times New Roman"/>
          <w:b/>
          <w:sz w:val="24"/>
          <w:szCs w:val="24"/>
        </w:rPr>
      </w:pPr>
    </w:p>
    <w:p w:rsidR="00385F3F" w:rsidRDefault="00385F3F" w:rsidP="002E26BA">
      <w:pPr>
        <w:spacing w:after="120"/>
        <w:jc w:val="both"/>
        <w:rPr>
          <w:rFonts w:ascii="Times New Roman" w:hAnsi="Times New Roman"/>
          <w:b/>
          <w:sz w:val="24"/>
          <w:szCs w:val="24"/>
        </w:rPr>
      </w:pPr>
    </w:p>
    <w:p w:rsidR="00385F3F" w:rsidRDefault="00385F3F" w:rsidP="002E26BA">
      <w:pPr>
        <w:spacing w:after="120"/>
        <w:jc w:val="both"/>
        <w:rPr>
          <w:rFonts w:ascii="Times New Roman" w:hAnsi="Times New Roman"/>
          <w:b/>
          <w:sz w:val="24"/>
          <w:szCs w:val="24"/>
        </w:rPr>
      </w:pPr>
    </w:p>
    <w:p w:rsidR="00385F3F" w:rsidRDefault="00385F3F" w:rsidP="002E26BA">
      <w:pPr>
        <w:spacing w:after="120"/>
        <w:jc w:val="both"/>
        <w:rPr>
          <w:rFonts w:ascii="Times New Roman" w:hAnsi="Times New Roman"/>
          <w:b/>
          <w:sz w:val="24"/>
          <w:szCs w:val="24"/>
        </w:rPr>
      </w:pPr>
    </w:p>
    <w:p w:rsidR="00385F3F" w:rsidRDefault="00385F3F" w:rsidP="002E26BA">
      <w:pPr>
        <w:spacing w:after="120"/>
        <w:jc w:val="both"/>
        <w:rPr>
          <w:rFonts w:ascii="Times New Roman" w:hAnsi="Times New Roman"/>
          <w:b/>
          <w:sz w:val="24"/>
          <w:szCs w:val="24"/>
        </w:rPr>
      </w:pPr>
    </w:p>
    <w:p w:rsidR="00385F3F" w:rsidRDefault="00385F3F" w:rsidP="002E26BA">
      <w:pPr>
        <w:spacing w:after="120"/>
        <w:jc w:val="both"/>
        <w:rPr>
          <w:rFonts w:ascii="Times New Roman" w:hAnsi="Times New Roman"/>
          <w:b/>
          <w:sz w:val="24"/>
          <w:szCs w:val="24"/>
        </w:rPr>
      </w:pPr>
    </w:p>
    <w:p w:rsidR="00856EF1" w:rsidRDefault="00856EF1" w:rsidP="002E26BA">
      <w:pPr>
        <w:spacing w:after="120"/>
        <w:jc w:val="both"/>
        <w:rPr>
          <w:rFonts w:ascii="Times New Roman" w:hAnsi="Times New Roman"/>
          <w:b/>
          <w:sz w:val="24"/>
          <w:szCs w:val="24"/>
        </w:rPr>
      </w:pPr>
      <w:r w:rsidRPr="00856EF1">
        <w:rPr>
          <w:rFonts w:ascii="Times New Roman" w:hAnsi="Times New Roman"/>
          <w:b/>
          <w:sz w:val="24"/>
          <w:szCs w:val="24"/>
        </w:rPr>
        <w:t>Resumo</w:t>
      </w:r>
    </w:p>
    <w:p w:rsidR="00856EF1" w:rsidRPr="00856EF1" w:rsidRDefault="00856EF1" w:rsidP="002E26BA">
      <w:pPr>
        <w:spacing w:after="120"/>
        <w:jc w:val="both"/>
        <w:rPr>
          <w:rFonts w:ascii="Times New Roman" w:hAnsi="Times New Roman"/>
          <w:sz w:val="24"/>
          <w:szCs w:val="24"/>
        </w:rPr>
      </w:pPr>
      <w:r>
        <w:rPr>
          <w:rFonts w:ascii="Times New Roman" w:hAnsi="Times New Roman"/>
          <w:sz w:val="24"/>
          <w:szCs w:val="24"/>
        </w:rPr>
        <w:t xml:space="preserve">    Os relatórios contábeis são um elemento fundamental para as empresas e instituições tanto para a organização quanto para a tomada de decisão dentro da empresa, e também para a transparência da mesma, divulgando seus resultados para terceiros interessados, como clientes, sócios, fornecedores e </w:t>
      </w:r>
      <w:proofErr w:type="spellStart"/>
      <w:r>
        <w:rPr>
          <w:rFonts w:ascii="Times New Roman" w:hAnsi="Times New Roman"/>
          <w:sz w:val="24"/>
          <w:szCs w:val="24"/>
        </w:rPr>
        <w:t>etc</w:t>
      </w:r>
      <w:proofErr w:type="spellEnd"/>
      <w:r>
        <w:rPr>
          <w:rFonts w:ascii="Times New Roman" w:hAnsi="Times New Roman"/>
          <w:sz w:val="24"/>
          <w:szCs w:val="24"/>
        </w:rPr>
        <w:t>, mostrando assim uma grande relevância.</w:t>
      </w:r>
      <w:r w:rsidR="00A31242">
        <w:rPr>
          <w:rFonts w:ascii="Times New Roman" w:hAnsi="Times New Roman"/>
          <w:sz w:val="24"/>
          <w:szCs w:val="24"/>
        </w:rPr>
        <w:t xml:space="preserve"> </w:t>
      </w:r>
      <w:r w:rsidR="00CE6DB9">
        <w:rPr>
          <w:rFonts w:ascii="Times New Roman" w:hAnsi="Times New Roman"/>
          <w:sz w:val="24"/>
          <w:szCs w:val="24"/>
        </w:rPr>
        <w:t>Contudo</w:t>
      </w:r>
      <w:r w:rsidR="00A31242">
        <w:rPr>
          <w:rFonts w:ascii="Times New Roman" w:hAnsi="Times New Roman"/>
          <w:sz w:val="24"/>
          <w:szCs w:val="24"/>
        </w:rPr>
        <w:t xml:space="preserve">, os relatórios contábeis não são realizados por todas as empresas, como pequenas, por exemplo, o que dificulta a tomada de decisão. Esta pesquisa tem como objetivo mostrar a importância desses relatórios contábeis tanto para pequenas, médias e grandes empresas, e o que o sua realização e divulgação podem trazer de benefícios para a empresa em questão organizacional, podendo assim trazer resultados melhores para </w:t>
      </w:r>
      <w:r w:rsidR="00A07CD1">
        <w:rPr>
          <w:rFonts w:ascii="Times New Roman" w:hAnsi="Times New Roman"/>
          <w:sz w:val="24"/>
          <w:szCs w:val="24"/>
        </w:rPr>
        <w:t>a</w:t>
      </w:r>
      <w:r w:rsidR="00A31242">
        <w:rPr>
          <w:rFonts w:ascii="Times New Roman" w:hAnsi="Times New Roman"/>
          <w:sz w:val="24"/>
          <w:szCs w:val="24"/>
        </w:rPr>
        <w:t xml:space="preserve"> mesma</w:t>
      </w:r>
      <w:r w:rsidR="009220EA">
        <w:rPr>
          <w:rFonts w:ascii="Times New Roman" w:hAnsi="Times New Roman"/>
          <w:sz w:val="24"/>
          <w:szCs w:val="24"/>
        </w:rPr>
        <w:t>, além disso a importância da adoção de algum tipo de padrão de divulgação para que esses resultados sejam maximizados com este tipo de organização.</w:t>
      </w:r>
      <w:r w:rsidR="00A14771">
        <w:rPr>
          <w:rFonts w:ascii="Times New Roman" w:hAnsi="Times New Roman"/>
          <w:sz w:val="24"/>
          <w:szCs w:val="24"/>
        </w:rPr>
        <w:t xml:space="preserve"> O método usado para a construção do artigo foi o uso do site Web </w:t>
      </w:r>
      <w:proofErr w:type="spellStart"/>
      <w:r w:rsidR="00A14771">
        <w:rPr>
          <w:rFonts w:ascii="Times New Roman" w:hAnsi="Times New Roman"/>
          <w:sz w:val="24"/>
          <w:szCs w:val="24"/>
        </w:rPr>
        <w:t>of</w:t>
      </w:r>
      <w:proofErr w:type="spellEnd"/>
      <w:r w:rsidR="00A14771">
        <w:rPr>
          <w:rFonts w:ascii="Times New Roman" w:hAnsi="Times New Roman"/>
          <w:sz w:val="24"/>
          <w:szCs w:val="24"/>
        </w:rPr>
        <w:t xml:space="preserve"> Science, selecionando os artigos nesse site sobre o tema pesquisado e colocando-os no software </w:t>
      </w:r>
      <w:proofErr w:type="spellStart"/>
      <w:r w:rsidR="00A14771">
        <w:rPr>
          <w:rFonts w:ascii="Times New Roman" w:hAnsi="Times New Roman"/>
          <w:sz w:val="24"/>
          <w:szCs w:val="24"/>
        </w:rPr>
        <w:t>Mendeley</w:t>
      </w:r>
      <w:proofErr w:type="spellEnd"/>
      <w:r w:rsidR="00A14771">
        <w:rPr>
          <w:rFonts w:ascii="Times New Roman" w:hAnsi="Times New Roman"/>
          <w:sz w:val="24"/>
          <w:szCs w:val="24"/>
        </w:rPr>
        <w:t xml:space="preserve"> onde o usaríamos para fazer citações no Word, também foi usado o software </w:t>
      </w:r>
      <w:proofErr w:type="spellStart"/>
      <w:r w:rsidR="00A14771">
        <w:rPr>
          <w:rFonts w:ascii="Times New Roman" w:hAnsi="Times New Roman"/>
          <w:sz w:val="24"/>
          <w:szCs w:val="24"/>
        </w:rPr>
        <w:t>HistCite</w:t>
      </w:r>
      <w:proofErr w:type="spellEnd"/>
      <w:r w:rsidR="00A14771">
        <w:rPr>
          <w:rFonts w:ascii="Times New Roman" w:hAnsi="Times New Roman"/>
          <w:sz w:val="24"/>
          <w:szCs w:val="24"/>
        </w:rPr>
        <w:t xml:space="preserve"> para que pudéssemos construir os gráficos e tabelas do nosso artigo. Os resultados foram baseados nos gráficos e tabelas construídos no </w:t>
      </w:r>
      <w:proofErr w:type="spellStart"/>
      <w:r w:rsidR="00A14771">
        <w:rPr>
          <w:rFonts w:ascii="Times New Roman" w:hAnsi="Times New Roman"/>
          <w:sz w:val="24"/>
          <w:szCs w:val="24"/>
        </w:rPr>
        <w:t>HistCite</w:t>
      </w:r>
      <w:proofErr w:type="spellEnd"/>
      <w:r w:rsidR="00A14771">
        <w:rPr>
          <w:rFonts w:ascii="Times New Roman" w:hAnsi="Times New Roman"/>
          <w:sz w:val="24"/>
          <w:szCs w:val="24"/>
        </w:rPr>
        <w:t>, tendo o conhecimento de autores mais citados, revistas, publicações por ano e a distribuição dessas citações.</w:t>
      </w:r>
    </w:p>
    <w:p w:rsidR="00856EF1" w:rsidRDefault="00856EF1" w:rsidP="002E26BA">
      <w:pPr>
        <w:spacing w:after="120"/>
        <w:jc w:val="both"/>
        <w:rPr>
          <w:rFonts w:ascii="Times New Roman" w:hAnsi="Times New Roman"/>
          <w:b/>
          <w:sz w:val="24"/>
          <w:szCs w:val="24"/>
        </w:rPr>
      </w:pPr>
    </w:p>
    <w:p w:rsidR="009643D6" w:rsidRDefault="009643D6" w:rsidP="002E26BA">
      <w:pPr>
        <w:spacing w:after="120"/>
        <w:jc w:val="both"/>
        <w:rPr>
          <w:rFonts w:ascii="Times New Roman" w:hAnsi="Times New Roman"/>
          <w:b/>
          <w:sz w:val="24"/>
          <w:szCs w:val="24"/>
        </w:rPr>
      </w:pPr>
    </w:p>
    <w:p w:rsidR="009643D6" w:rsidRDefault="009643D6" w:rsidP="002E26BA">
      <w:pPr>
        <w:spacing w:after="120"/>
        <w:jc w:val="both"/>
        <w:rPr>
          <w:rFonts w:ascii="Times New Roman" w:hAnsi="Times New Roman"/>
          <w:b/>
          <w:sz w:val="24"/>
          <w:szCs w:val="24"/>
        </w:rPr>
      </w:pPr>
    </w:p>
    <w:p w:rsidR="009643D6" w:rsidRDefault="009643D6" w:rsidP="002E26BA">
      <w:pPr>
        <w:spacing w:after="120"/>
        <w:jc w:val="both"/>
        <w:rPr>
          <w:rFonts w:ascii="Times New Roman" w:hAnsi="Times New Roman"/>
          <w:b/>
          <w:sz w:val="24"/>
          <w:szCs w:val="24"/>
        </w:rPr>
      </w:pPr>
    </w:p>
    <w:p w:rsidR="009220EA" w:rsidRDefault="009220EA" w:rsidP="002E26BA">
      <w:pPr>
        <w:spacing w:after="120"/>
        <w:jc w:val="both"/>
        <w:rPr>
          <w:rFonts w:ascii="Times New Roman" w:hAnsi="Times New Roman"/>
          <w:b/>
          <w:sz w:val="24"/>
          <w:szCs w:val="24"/>
        </w:rPr>
      </w:pPr>
    </w:p>
    <w:p w:rsidR="004101F3" w:rsidRDefault="004101F3" w:rsidP="002E26BA">
      <w:pPr>
        <w:spacing w:after="120"/>
        <w:jc w:val="both"/>
        <w:rPr>
          <w:rFonts w:ascii="Times New Roman" w:hAnsi="Times New Roman"/>
          <w:b/>
          <w:sz w:val="24"/>
          <w:szCs w:val="24"/>
        </w:rPr>
      </w:pPr>
    </w:p>
    <w:p w:rsidR="009643D6" w:rsidRPr="002C2790" w:rsidRDefault="009643D6" w:rsidP="002E26BA">
      <w:pPr>
        <w:spacing w:after="120"/>
        <w:jc w:val="both"/>
        <w:rPr>
          <w:rFonts w:ascii="Times New Roman" w:hAnsi="Times New Roman"/>
          <w:b/>
          <w:sz w:val="24"/>
          <w:szCs w:val="24"/>
        </w:rPr>
      </w:pPr>
    </w:p>
    <w:p w:rsidR="009D5217" w:rsidRDefault="009D5217" w:rsidP="009D5217">
      <w:pPr>
        <w:pStyle w:val="PargrafodaLista"/>
        <w:spacing w:after="120"/>
        <w:jc w:val="both"/>
        <w:rPr>
          <w:rFonts w:ascii="Times New Roman" w:hAnsi="Times New Roman"/>
          <w:b/>
          <w:sz w:val="24"/>
          <w:szCs w:val="24"/>
        </w:rPr>
      </w:pPr>
    </w:p>
    <w:p w:rsidR="00277541" w:rsidRPr="009D5217" w:rsidRDefault="001D2E70" w:rsidP="009D5217">
      <w:pPr>
        <w:pStyle w:val="PargrafodaLista"/>
        <w:numPr>
          <w:ilvl w:val="0"/>
          <w:numId w:val="12"/>
        </w:numPr>
        <w:spacing w:after="120"/>
        <w:jc w:val="both"/>
        <w:rPr>
          <w:rFonts w:ascii="Times New Roman" w:hAnsi="Times New Roman"/>
          <w:b/>
          <w:sz w:val="24"/>
          <w:szCs w:val="24"/>
        </w:rPr>
      </w:pPr>
      <w:bookmarkStart w:id="0" w:name="_GoBack"/>
      <w:bookmarkEnd w:id="0"/>
      <w:r w:rsidRPr="009D5217">
        <w:rPr>
          <w:rFonts w:ascii="Times New Roman" w:hAnsi="Times New Roman"/>
          <w:b/>
          <w:sz w:val="24"/>
          <w:szCs w:val="24"/>
        </w:rPr>
        <w:lastRenderedPageBreak/>
        <w:t>I</w:t>
      </w:r>
      <w:r w:rsidR="00277541" w:rsidRPr="009D5217">
        <w:rPr>
          <w:rFonts w:ascii="Times New Roman" w:hAnsi="Times New Roman"/>
          <w:b/>
          <w:sz w:val="24"/>
          <w:szCs w:val="24"/>
        </w:rPr>
        <w:t>ntrodução</w:t>
      </w:r>
    </w:p>
    <w:p w:rsidR="00AB5187" w:rsidRDefault="00AB5187" w:rsidP="00AB5187">
      <w:pPr>
        <w:spacing w:after="1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No atual contexto econômico, é imprescindível para qualquer instituição, seja ela grande, média ou pequena realizar e fazer a divulgação de seus relatórios contábeis para que a tomada de decisão de seus administradores seja mais eficiente, trazendo melhores resultados para a empresa, e para que outros possíveis leitores, como clientes, fornecedores e investidores possam ter uma noção das suas ações futuras.</w:t>
      </w:r>
    </w:p>
    <w:p w:rsidR="00AB5187" w:rsidRDefault="00AB5187" w:rsidP="00AB5187">
      <w:pPr>
        <w:spacing w:after="120"/>
        <w:jc w:val="both"/>
        <w:rPr>
          <w:rFonts w:ascii="Times New Roman" w:hAnsi="Times New Roman"/>
          <w:sz w:val="24"/>
          <w:szCs w:val="24"/>
        </w:rPr>
      </w:pPr>
      <w:r>
        <w:rPr>
          <w:rFonts w:ascii="Times New Roman" w:hAnsi="Times New Roman"/>
          <w:sz w:val="24"/>
          <w:szCs w:val="24"/>
        </w:rPr>
        <w:t xml:space="preserve">    No entanto, muitas dessas empresas não realizam a divulgação de seus resultados por não achar relevante esse tipo de organização, mantendo apenas um controle interno desorganizado e que talvez pareça confuso para quem precisar da leitura destes resultados, tomando assim decisões precipitadas e que podem ao invés de melhorar os resultados da empresa, prejudica-la.</w:t>
      </w:r>
    </w:p>
    <w:p w:rsidR="00AB5187" w:rsidRPr="00AB5187" w:rsidRDefault="00AB5187" w:rsidP="00AB5187">
      <w:pPr>
        <w:spacing w:after="120"/>
        <w:jc w:val="both"/>
        <w:rPr>
          <w:rFonts w:ascii="Times New Roman" w:hAnsi="Times New Roman"/>
          <w:sz w:val="24"/>
          <w:szCs w:val="24"/>
        </w:rPr>
      </w:pPr>
      <w:r>
        <w:rPr>
          <w:rFonts w:ascii="Times New Roman" w:hAnsi="Times New Roman"/>
          <w:sz w:val="24"/>
          <w:szCs w:val="24"/>
        </w:rPr>
        <w:t xml:space="preserve">     Um dos objetivos dessa pesquisa é mostrar também que </w:t>
      </w:r>
      <w:r w:rsidR="000523F1">
        <w:rPr>
          <w:rFonts w:ascii="Times New Roman" w:hAnsi="Times New Roman"/>
          <w:sz w:val="24"/>
          <w:szCs w:val="24"/>
        </w:rPr>
        <w:t>não só é relevante a realização e</w:t>
      </w:r>
      <w:r>
        <w:rPr>
          <w:rFonts w:ascii="Times New Roman" w:hAnsi="Times New Roman"/>
          <w:sz w:val="24"/>
          <w:szCs w:val="24"/>
        </w:rPr>
        <w:t xml:space="preserve"> divulgação </w:t>
      </w:r>
      <w:r w:rsidR="000523F1">
        <w:rPr>
          <w:rFonts w:ascii="Times New Roman" w:hAnsi="Times New Roman"/>
          <w:sz w:val="24"/>
          <w:szCs w:val="24"/>
        </w:rPr>
        <w:t>dos resultados como também seguir uma regra de divulgação (como os padrões impostos pela IFRS) e presar por características qualitativas que auxiliam as tomadas de decisões, alguns dos resultados nos mostram o quanto essa adoção por padrões melhoram os resultados da empresa trazendo mais lucro.</w:t>
      </w:r>
    </w:p>
    <w:p w:rsidR="000D33C4" w:rsidRDefault="000D33C4" w:rsidP="002C2790">
      <w:pPr>
        <w:spacing w:after="120"/>
        <w:jc w:val="both"/>
        <w:rPr>
          <w:rFonts w:ascii="Times New Roman" w:hAnsi="Times New Roman"/>
          <w:b/>
          <w:sz w:val="24"/>
          <w:szCs w:val="24"/>
        </w:rPr>
      </w:pPr>
    </w:p>
    <w:p w:rsidR="00277541" w:rsidRDefault="00856EF1" w:rsidP="002C2790">
      <w:pPr>
        <w:spacing w:after="120"/>
        <w:jc w:val="both"/>
        <w:rPr>
          <w:rFonts w:ascii="Times New Roman" w:hAnsi="Times New Roman"/>
          <w:b/>
          <w:sz w:val="24"/>
          <w:szCs w:val="24"/>
        </w:rPr>
      </w:pPr>
      <w:r>
        <w:rPr>
          <w:rFonts w:ascii="Times New Roman" w:hAnsi="Times New Roman"/>
          <w:b/>
          <w:sz w:val="24"/>
          <w:szCs w:val="24"/>
        </w:rPr>
        <w:t xml:space="preserve">2    </w:t>
      </w:r>
      <w:r w:rsidR="00CE6DB9">
        <w:rPr>
          <w:rFonts w:ascii="Times New Roman" w:hAnsi="Times New Roman"/>
          <w:b/>
          <w:sz w:val="24"/>
          <w:szCs w:val="24"/>
        </w:rPr>
        <w:t>Divulgação de r</w:t>
      </w:r>
      <w:r w:rsidR="00E95EE5">
        <w:rPr>
          <w:rFonts w:ascii="Times New Roman" w:hAnsi="Times New Roman"/>
          <w:b/>
          <w:sz w:val="24"/>
          <w:szCs w:val="24"/>
        </w:rPr>
        <w:t>elatórios contábeis</w:t>
      </w:r>
      <w:r w:rsidR="009220EA">
        <w:rPr>
          <w:rFonts w:ascii="Times New Roman" w:hAnsi="Times New Roman"/>
          <w:b/>
          <w:sz w:val="24"/>
          <w:szCs w:val="24"/>
        </w:rPr>
        <w:t xml:space="preserve"> e adoção de normas</w:t>
      </w:r>
    </w:p>
    <w:p w:rsidR="008D4F0F" w:rsidRDefault="00BF34F1" w:rsidP="002C2790">
      <w:pPr>
        <w:spacing w:after="120"/>
        <w:jc w:val="both"/>
        <w:rPr>
          <w:rFonts w:ascii="Times New Roman" w:hAnsi="Times New Roman"/>
          <w:sz w:val="24"/>
          <w:szCs w:val="24"/>
        </w:rPr>
      </w:pPr>
      <w:r>
        <w:rPr>
          <w:rFonts w:ascii="Times New Roman" w:hAnsi="Times New Roman"/>
          <w:sz w:val="24"/>
          <w:szCs w:val="24"/>
        </w:rPr>
        <w:t xml:space="preserve">     </w:t>
      </w:r>
      <w:r w:rsidR="008D4F0F">
        <w:rPr>
          <w:rFonts w:ascii="Times New Roman" w:hAnsi="Times New Roman"/>
          <w:sz w:val="24"/>
          <w:szCs w:val="24"/>
        </w:rPr>
        <w:t xml:space="preserve">De acordo com </w:t>
      </w:r>
      <w:r w:rsidR="00E757A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"10.2308/accr-51340", "ISSN" : "0001-4826", "abstract" : "I investigate how the adoption of International Financial Reporting\nStandards (IFRS) affects audit markets. Specifically, I examine the\neffect of IFRS adoption on the likelihood and direction of auditor\nswitching in a sample of firms from five European Union countries: the\nUnited Kingdom, Germany, Spain, Italy, and Poland during the period from\n1998 through 2010. I hypothesize that IFRS adoption creates an expert\nadvantage for global audit firms (i.e., Big 4 audit firms, Grant\nThornton, and BDO) during a regime shift in reporting standards. I find\nthat clients are more likely to switch from small to global audit firms\nin the year of IFRS adoption. I also hypothesize that the strength of a\ncountry's regulatory regime affects the likelihood of auditor\nreplacement around IFRS adoption. I find that firms listed in countries\nwith high-quality regulation and enforcement are significantly more\nlikely to switch from small to global audit firms in the year of IFRS\nadoption (with the odds of the switch almost doubled when compared to\nnon-adoption years). In weaker regulatory regimes, IFRS adoption is not\nassociated with an increase in auditor switching. Additional tests\nprovide evidence that global audit firms' advantage stems from their\nperceived IFRS expertise. Finally, the results confirm that not only Big\n4, but also Grant Thornton and BDO, benefit from IFRS adoption.", "author" : [ { "dropping-particle" : "", "family" : "Wieczynska", "given" : "Maria", "non-dropping-particle" : "", "parse-names" : false, "suffix" : "" } ], "container-title" : "ACCOUNTING REVIEW", "id" : "ITEM-1", "issue" : "4", "issued" : { "date-parts" : [ [ "2016", "7" ] ] }, "page" : "1257-1283", "publisher" : "AMER ACCOUNTING ASSOC", "publisher-place" : "5717 BESSIE DR, SARASOTA, FL 34233 USA", "title" : "The ``Big'' Consequences of IFRS: How and When Does the Adoption of IFRS Benefit Global Accounting Firms?", "type" : "article-journal", "volume" : "91" }, "uris" : [ "http://www.mendeley.com/documents/?uuid=caad5360-e6bb-4262-8512-cb90e15aabe3" ] } ], "mendeley" : { "formattedCitation" : "(Wieczynska, 2016)", "plainTextFormattedCitation" : "(Wieczynska, 2016)", "previouslyFormattedCitation" : "(Wieczynska, 2016)" }, "properties" : {  }, "schema" : "https://github.com/citation-style-language/schema/raw/master/csl-citation.json" }</w:instrText>
      </w:r>
      <w:r w:rsidR="00E757A7">
        <w:rPr>
          <w:rFonts w:ascii="Times New Roman" w:hAnsi="Times New Roman"/>
          <w:sz w:val="24"/>
          <w:szCs w:val="24"/>
        </w:rPr>
        <w:fldChar w:fldCharType="separate"/>
      </w:r>
      <w:r w:rsidR="00E757A7" w:rsidRPr="00E757A7">
        <w:rPr>
          <w:rFonts w:ascii="Times New Roman" w:hAnsi="Times New Roman"/>
          <w:noProof/>
          <w:sz w:val="24"/>
          <w:szCs w:val="24"/>
        </w:rPr>
        <w:t>(Wieczynska, 2016)</w:t>
      </w:r>
      <w:r w:rsidR="00E757A7">
        <w:rPr>
          <w:rFonts w:ascii="Times New Roman" w:hAnsi="Times New Roman"/>
          <w:sz w:val="24"/>
          <w:szCs w:val="24"/>
        </w:rPr>
        <w:fldChar w:fldCharType="end"/>
      </w:r>
      <w:r w:rsidR="00E757A7">
        <w:rPr>
          <w:rFonts w:ascii="Times New Roman" w:hAnsi="Times New Roman"/>
          <w:sz w:val="24"/>
          <w:szCs w:val="24"/>
        </w:rPr>
        <w:t xml:space="preserve"> os clientes tendem a se mudar de pequenas empresas de auditoria para empresas de auditoria global no ano de adoção das novas regras da IFRS, ou seja, até no próprio âmbito da contabilidade espera-se que as conformidades com as adoções de práticas e demonstração de resultados sejam feitos.</w:t>
      </w:r>
    </w:p>
    <w:p w:rsidR="00EC60A2" w:rsidRPr="00EC60A2" w:rsidRDefault="00EC60A2" w:rsidP="00EC60A2">
      <w:pPr>
        <w:rPr>
          <w:rFonts w:ascii="Times" w:hAnsi="Times"/>
        </w:rPr>
      </w:pPr>
      <w:r w:rsidRPr="00EC60A2">
        <w:rPr>
          <w:rFonts w:ascii="Times" w:hAnsi="Times"/>
        </w:rPr>
        <w:t>Foi revelado em estudo que a adoção de política</w:t>
      </w:r>
      <w:r w:rsidR="00CE6DB9">
        <w:rPr>
          <w:rFonts w:ascii="Times" w:hAnsi="Times"/>
        </w:rPr>
        <w:t>s</w:t>
      </w:r>
      <w:r w:rsidRPr="00EC60A2">
        <w:rPr>
          <w:rFonts w:ascii="Times" w:hAnsi="Times"/>
        </w:rPr>
        <w:t xml:space="preserve"> contábeis com padrões de qualidade altas, assim como om da IFRS </w:t>
      </w:r>
      <w:r w:rsidRPr="00EC60A2">
        <w:rPr>
          <w:rStyle w:val="Forte"/>
          <w:rFonts w:ascii="Times" w:hAnsi="Times"/>
          <w:b w:val="0"/>
        </w:rPr>
        <w:t>melhorou</w:t>
      </w:r>
      <w:r>
        <w:rPr>
          <w:rFonts w:ascii="Times" w:hAnsi="Times"/>
        </w:rPr>
        <w:t xml:space="preserve"> muito a </w:t>
      </w:r>
      <w:r w:rsidRPr="00EC60A2">
        <w:rPr>
          <w:rFonts w:ascii="Times" w:hAnsi="Times"/>
        </w:rPr>
        <w:t>qualidade dos relatórios financeiros de empresas</w:t>
      </w:r>
      <w:r>
        <w:rPr>
          <w:rFonts w:ascii="Times" w:hAnsi="Times"/>
        </w:rPr>
        <w:t xml:space="preserve"> possibilitando assim uma maior facilidade e transparência na tomada de decisão dos administradores </w:t>
      </w:r>
      <w:r>
        <w:rPr>
          <w:rFonts w:ascii="Times" w:hAnsi="Times"/>
        </w:rPr>
        <w:fldChar w:fldCharType="begin" w:fldLock="1"/>
      </w:r>
      <w:r w:rsidR="00BF34F1">
        <w:rPr>
          <w:rFonts w:ascii="Times" w:hAnsi="Times"/>
        </w:rPr>
        <w:instrText>ADDIN CSL_CITATION { "citationItems" : [ { "id" : "ITEM-1", "itemData" : { "DOI" : "10.1108/IJAIM-11-2015-0075", "ISSN" : "1834-7649", "abstract" : "Purpose - The purpose of this study is to examine whether the quality of\nfinancial reporting has improved after the adoption of International\nFinancial Reporting Standards (IFRS) in Europe and across the world. The\nstudy investigates the impact of IFRS on income smoothing and earnings\nmanagement in different geographic regions under different legal origins\nand disclosure environments.\nDesign/methodology/approach - To measure income smoothing in the pre-\nand post-IFRS periods, the authors use the coefficient of variation and\nthe panel unit root model proposed by Im et al. (2003) for testing\nwhether net income is stationary throughout the sample period. The study\nuses a dynamic panel estimation framework, as it captures the dynamics\nof IFRS on discretionary accruals efficiently. Discretionary accruals\nare used to measure earnings management.\nFindings - The results suggest that the adoption of high quality\nstandards, such as IFRS, reduces income smoothing and earnings\nmanagement. In addition, the study finds that earnings management has\ndecreased in the post-IFRS period, in particular, for French and\nScandinavian civil law countries, but not for German civil law countries\nand common law countries. The latter can be explained by the fact that\ncommon law countries have strong investor protection laws, strict law\nenforcement and high disclosure levels of financial information. The\nstudy also finds empirical evidence that the adoption of IFRS reduces\nearnings management in countries with high levels of financial\ndisclosure. Overall, the study shows that the adoption of IFRS improved\nthe quality of financial reporting.\nOriginality/value - This study is useful for accounting standard setters\nacross the world, including those countries that have not yet decided to\nadopt IFRS. The study contributes to the literature by examining the\nadoption of IFRS in income smoothing and earnings management under\ndifferent legal regimes and disclosure environments by using advanced\nempirical methodologies.", "author" : [ { "dropping-particle" : "", "family" : "Dayanandan", "given" : "Ajit", "non-dropping-particle" : "", "parse-names" : false, "suffix" : "" }, { "dropping-particle" : "", "family" : "Donker", "given" : "Han", "non-dropping-particle" : "", "parse-names" : false, "suffix" : "" }, { "dropping-particle" : "", "family" : "Ivanof", "given" : "Mike", "non-dropping-particle" : "", "parse-names" : false, "suffix" : "" }, { "dropping-particle" : "", "family" : "Karahan", "given" : "Gokhan", "non-dropping-particle" : "", "parse-names" : false, "suffix" : "" } ], "container-title" : "INTERNATIONAL JOURNAL OF ACCOUNTING AND INFORMATION MANAGEMENT", "id" : "ITEM-1", "issue" : "3", "issued" : { "date-parts" : [ [ "2016" ] ] }, "page" : "296-316", "publisher" : "EMERALD GROUP PUBLISHING LTD", "publisher-place" : "HOWARD HOUSE, WAGON LANE, BINGLEY BD16 1WA, W YORKSHIRE, ENGLAND", "title" : "IFRS and accounting quality: legal origin, regional, and disclosure impacts", "type" : "article-journal", "volume" : "24" }, "uris" : [ "http://www.mendeley.com/documents/?uuid=17ada2ea-4a3e-418c-ba71-e92af7245e75" ] } ], "mendeley" : { "formattedCitation" : "(Dayanandan, Donker, Ivanof, &amp; Karahan, 2016)", "plainTextFormattedCitation" : "(Dayanandan, Donker, Ivanof, &amp; Karahan, 2016)", "previouslyFormattedCitation" : "(Dayanandan, Donker, Ivanof, &amp; Karahan, 2016)" }, "properties" : {  }, "schema" : "https://github.com/citation-style-language/schema/raw/master/csl-citation.json" }</w:instrText>
      </w:r>
      <w:r>
        <w:rPr>
          <w:rFonts w:ascii="Times" w:hAnsi="Times"/>
        </w:rPr>
        <w:fldChar w:fldCharType="separate"/>
      </w:r>
      <w:r w:rsidRPr="00EC60A2">
        <w:rPr>
          <w:rFonts w:ascii="Times" w:hAnsi="Times"/>
          <w:noProof/>
        </w:rPr>
        <w:t>(Dayanandan, Donker, Ivanof, &amp; Karahan, 2016)</w:t>
      </w:r>
      <w:r>
        <w:rPr>
          <w:rFonts w:ascii="Times" w:hAnsi="Times"/>
        </w:rPr>
        <w:fldChar w:fldCharType="end"/>
      </w:r>
      <w:r>
        <w:rPr>
          <w:rFonts w:ascii="Times" w:hAnsi="Times"/>
        </w:rPr>
        <w:t>.</w:t>
      </w:r>
    </w:p>
    <w:p w:rsidR="0030542D" w:rsidRDefault="00BF34F1" w:rsidP="002C2790">
      <w:pPr>
        <w:spacing w:after="120"/>
        <w:jc w:val="both"/>
        <w:rPr>
          <w:rFonts w:ascii="Times New Roman" w:hAnsi="Times New Roman"/>
          <w:sz w:val="24"/>
          <w:szCs w:val="24"/>
        </w:rPr>
      </w:pPr>
      <w:r>
        <w:rPr>
          <w:rFonts w:ascii="Times New Roman" w:hAnsi="Times New Roman"/>
          <w:sz w:val="24"/>
          <w:szCs w:val="24"/>
        </w:rPr>
        <w:t xml:space="preserve">     </w:t>
      </w:r>
      <w:r w:rsidR="00EC60A2">
        <w:rPr>
          <w:rFonts w:ascii="Times New Roman" w:hAnsi="Times New Roman"/>
          <w:sz w:val="24"/>
          <w:szCs w:val="24"/>
        </w:rPr>
        <w:t>Outro ponto que diz em re</w:t>
      </w:r>
      <w:r w:rsidR="00CE6DB9">
        <w:rPr>
          <w:rFonts w:ascii="Times New Roman" w:hAnsi="Times New Roman"/>
          <w:sz w:val="24"/>
          <w:szCs w:val="24"/>
        </w:rPr>
        <w:t xml:space="preserve">lação ao alcance de eficiência de investimento das empresas, foi objeto de estudo a considerável diminuição do conservadorismo contábil após as adoções dos padrões da IFRS, pois tornaram os relatórios contábeis com melhores características qualitativas ajudando no processo de tomada de decisão. </w:t>
      </w:r>
      <w:r w:rsidR="00CE6DB9">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"10.3917/cca.203.0101", "ISSN" : "1262-2788", "abstract" : "We test if a higher degree of conservatism is associated with greater\ninvestment efficiency (decrease of over- and under-investment) for a\nsample of French firms, before and after the mandatory adoption of IFRS\nin 2005. While a theoretical link between conservatism and investment\nefficiency has previously been established, the question is whether this\nlink still remains after IFRS adoption. We report on a significant\ndecrease in conservatism after the implementation of IFRS. This result\nis consistent with the results reported by Piot et al. (2011), Ahmed et\nal. (2013) and Andre et al. (2013). Our tests show that for the pre-IFRS\nperiod, conservatism limited over-and under-investment. For the\npost-IFRS period, however, conservatism does not seem to play a role in\nachieving investment efficiency. This paper contributes to the academic\nand regulatory debate over the economic consequences of the qualitative\ncharacteristics of useful financial information and the impact of IFRS\nadoption. The adoption of IFRS has led to a new equilibrium between the\nvarious qualitative characteristics of accounting information, while the\ncosts and benefits remain difficult to measure.", "author" : [ { "dropping-particle" : "", "family" : "Andre", "given" : "Paul", "non-dropping-particle" : "", "parse-names" : false, "suffix" : "" }, { "dropping-particle" : "", "family" : "Filip", "given" : "Andrei", "non-dropping-particle" : "", "parse-names" : false, "suffix" : "" }, { "dropping-particle" : "", "family" : "Marmousez", "given" : "Sophie", "non-dropping-particle" : "", "parse-names" : false, "suffix" : "" } ], "container-title" : "COMPTABILITE CONTROLE AUDIT", "id" : "ITEM-1", "issue" : "3", "issued" : { "date-parts" : [ [ "2014" ] ] }, "page" : "101-124", "publisher" : "ASSOC FRANCOPHONE COMPTABILITE-AFC", "publisher-place" : "40 RUE DES JEUNEURS, PARIS, 75002, FRANCE", "title" : "The impact of IFRS on the relationship between conservatism and investment efficiency", "type" : "article-journal", "volume" : "20" }, "uris" : [ "http://www.mendeley.com/documents/?uuid=aeb321d7-cdd7-49b0-8eba-97a81167d56f" ] } ], "mendeley" : { "formattedCitation" : "(Andre, Filip, &amp; Marmousez, 2014)", "plainTextFormattedCitation" : "(Andre, Filip, &amp; Marmousez, 2014)", "previouslyFormattedCitation" : "(Andre, Filip, &amp; Marmousez, 2014)" }, "properties" : {  }, "schema" : "https://github.com/citation-style-language/schema/raw/master/csl-citation.json" }</w:instrText>
      </w:r>
      <w:r w:rsidR="00CE6DB9">
        <w:rPr>
          <w:rFonts w:ascii="Times New Roman" w:hAnsi="Times New Roman"/>
          <w:sz w:val="24"/>
          <w:szCs w:val="24"/>
        </w:rPr>
        <w:fldChar w:fldCharType="separate"/>
      </w:r>
      <w:r w:rsidR="00CE6DB9" w:rsidRPr="00CE6DB9">
        <w:rPr>
          <w:rFonts w:ascii="Times New Roman" w:hAnsi="Times New Roman"/>
          <w:noProof/>
          <w:sz w:val="24"/>
          <w:szCs w:val="24"/>
        </w:rPr>
        <w:t>(Andre, Filip, &amp; Marmousez, 2014)</w:t>
      </w:r>
      <w:r w:rsidR="00CE6DB9">
        <w:rPr>
          <w:rFonts w:ascii="Times New Roman" w:hAnsi="Times New Roman"/>
          <w:sz w:val="24"/>
          <w:szCs w:val="24"/>
        </w:rPr>
        <w:fldChar w:fldCharType="end"/>
      </w:r>
      <w:r w:rsidR="00CE6DB9">
        <w:rPr>
          <w:rFonts w:ascii="Times New Roman" w:hAnsi="Times New Roman"/>
          <w:sz w:val="24"/>
          <w:szCs w:val="24"/>
        </w:rPr>
        <w:t>.</w:t>
      </w:r>
    </w:p>
    <w:p w:rsidR="00BF34F1" w:rsidRDefault="00BF34F1" w:rsidP="002C2790">
      <w:pPr>
        <w:spacing w:after="120"/>
        <w:jc w:val="both"/>
        <w:rPr>
          <w:rFonts w:ascii="Times New Roman" w:hAnsi="Times New Roman"/>
          <w:sz w:val="24"/>
          <w:szCs w:val="24"/>
        </w:rPr>
      </w:pPr>
      <w:r>
        <w:rPr>
          <w:rFonts w:ascii="Times New Roman" w:hAnsi="Times New Roman"/>
          <w:sz w:val="24"/>
          <w:szCs w:val="24"/>
        </w:rPr>
        <w:t xml:space="preserve">     </w:t>
      </w:r>
    </w:p>
    <w:p w:rsidR="0064063A" w:rsidRPr="00BF34F1" w:rsidRDefault="00BF34F1" w:rsidP="002C2790">
      <w:pPr>
        <w:spacing w:after="120"/>
        <w:jc w:val="both"/>
        <w:rPr>
          <w:rFonts w:ascii="Times New Roman" w:hAnsi="Times New Roman"/>
          <w:sz w:val="24"/>
          <w:szCs w:val="24"/>
        </w:rPr>
      </w:pPr>
      <w:r>
        <w:rPr>
          <w:rFonts w:ascii="Times New Roman" w:hAnsi="Times New Roman"/>
          <w:sz w:val="24"/>
          <w:szCs w:val="24"/>
        </w:rPr>
        <w:t xml:space="preserve">     N</w:t>
      </w:r>
      <w:r w:rsidR="0064063A">
        <w:rPr>
          <w:rFonts w:ascii="Times New Roman" w:hAnsi="Times New Roman"/>
          <w:sz w:val="24"/>
          <w:szCs w:val="24"/>
        </w:rPr>
        <w:t xml:space="preserve">a seguinte tabela retirada de um artigo de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"10.2308/accr-51296", "ISSN" : "0001-4826", "abstract" : "This study examines the effect of the mandatory adoption of\nInternational Financial Reporting Standards (IFRS) on voluntary\ndisclosure. Using a difference-in-differences analysis, we document a\nsignificant increase in the likelihood and frequency of management\nearnings forecasts following mandatory IFRS adoption, consistent with\nthe notion that IFRS adoption alters firms' disclosure incentives in\nresponse to increased capital-market demand. We find the increase to be\nlarger among firms domiciled in code-law countries, suggesting a\ncatching-up effect among firms facing low disclosure incentives\npre-adoption. We then propose and test three channels through which IFRS\nadoption could alter firms' disclosure incentives: improved earnings\nquality, increased shareholder demand, and increased analyst demand. We\nfind evidence consistent with all three channels.", "author" : [ { "dropping-particle" : "", "family" : "Li", "given" : "Xi", "non-dropping-particle" : "", "parse-names" : false, "suffix" : "" }, { "dropping-particle" : "", "family" : "Yang", "given" : "Holly I", "non-dropping-particle" : "", "parse-names" : false, "suffix" : "" } ], "container-title" : "ACCOUNTING REVIEW", "id" : "ITEM-1", "issue" : "3", "issued" : { "date-parts" : [ [ "2016" ] ] }, "page" : "933-953", "publisher" : "AMER ACCOUNTING ASSOC", "publisher-place" : "5717 BESSIE DR, SARASOTA, FL 34233 USA", "title" : "Mandatory Financial Reporting and Voluntary Disclosure: The Effect of Mandatory IFRS Adoption on Management Forecasts", "type" : "article-journal", "volume" : "91" }, "uris" : [ "http://www.mendeley.com/documents/?uuid=5919eacd-5a28-4a37-a18c-31dce0983a55" ] } ], "mendeley" : { "formattedCitation" : "(Li &amp; Yang, 2016)", "plainTextFormattedCitation" : "(Li &amp; Yang, 2016)", "previouslyFormattedCitation" : "(Li &amp; Yang, 2016)" }, "properties" : {  }, "schema" : "https://github.com/citation-style-language/schema/raw/master/csl-citation.json" }</w:instrText>
      </w:r>
      <w:r>
        <w:rPr>
          <w:rFonts w:ascii="Times New Roman" w:hAnsi="Times New Roman"/>
          <w:sz w:val="24"/>
          <w:szCs w:val="24"/>
        </w:rPr>
        <w:fldChar w:fldCharType="separate"/>
      </w:r>
      <w:r w:rsidRPr="00BF34F1">
        <w:rPr>
          <w:rFonts w:ascii="Times New Roman" w:hAnsi="Times New Roman"/>
          <w:noProof/>
          <w:sz w:val="24"/>
          <w:szCs w:val="24"/>
        </w:rPr>
        <w:t>(Li &amp; Yang, 2016)</w:t>
      </w:r>
      <w:r>
        <w:rPr>
          <w:rFonts w:ascii="Times New Roman" w:hAnsi="Times New Roman"/>
          <w:sz w:val="24"/>
          <w:szCs w:val="24"/>
        </w:rPr>
        <w:fldChar w:fldCharType="end"/>
      </w:r>
      <w:r>
        <w:rPr>
          <w:rFonts w:ascii="Times New Roman" w:hAnsi="Times New Roman"/>
          <w:sz w:val="24"/>
          <w:szCs w:val="24"/>
        </w:rPr>
        <w:t xml:space="preserve">, podemos observar a diferença  entre países que adotaram e que não adotaram os padrões da IFRS, em relação ao número de previsões (segundo o autor, com a adoção das normas, é mais fácil e eficiente para as empresas fazer previsões de episódios econômicos), </w:t>
      </w:r>
      <w:proofErr w:type="spellStart"/>
      <w:r w:rsidRPr="00BF34F1">
        <w:rPr>
          <w:rFonts w:ascii="Times New Roman" w:hAnsi="Times New Roman"/>
          <w:i/>
          <w:sz w:val="24"/>
          <w:szCs w:val="24"/>
        </w:rPr>
        <w:t>Issue</w:t>
      </w:r>
      <w:proofErr w:type="spellEnd"/>
      <w:r>
        <w:rPr>
          <w:rFonts w:ascii="Times New Roman" w:hAnsi="Times New Roman"/>
          <w:i/>
          <w:sz w:val="24"/>
          <w:szCs w:val="24"/>
        </w:rPr>
        <w:t xml:space="preserve"> </w:t>
      </w:r>
      <w:r>
        <w:rPr>
          <w:rFonts w:ascii="Times New Roman" w:hAnsi="Times New Roman"/>
          <w:sz w:val="24"/>
          <w:szCs w:val="24"/>
        </w:rPr>
        <w:t xml:space="preserve">é um indicador variável igual a 1 se uma empresa fez ao menos 1 previsão em um certo ano e zero do contrário, </w:t>
      </w:r>
      <w:proofErr w:type="spellStart"/>
      <w:r>
        <w:rPr>
          <w:rFonts w:ascii="Times New Roman" w:hAnsi="Times New Roman"/>
          <w:i/>
          <w:sz w:val="24"/>
          <w:szCs w:val="24"/>
        </w:rPr>
        <w:t>Freq</w:t>
      </w:r>
      <w:proofErr w:type="spellEnd"/>
      <w:r>
        <w:rPr>
          <w:rFonts w:ascii="Times New Roman" w:hAnsi="Times New Roman"/>
          <w:sz w:val="24"/>
          <w:szCs w:val="24"/>
        </w:rPr>
        <w:t xml:space="preserve"> é o número de previsões emitidas por uma empresa em certo ano.</w:t>
      </w:r>
    </w:p>
    <w:p w:rsidR="00504795" w:rsidRDefault="00504795" w:rsidP="00504795">
      <w:pPr>
        <w:pStyle w:val="Legenda"/>
        <w:keepNext/>
        <w:jc w:val="both"/>
      </w:pPr>
    </w:p>
    <w:p w:rsidR="00504795" w:rsidRDefault="00504795" w:rsidP="00504795">
      <w:pPr>
        <w:pStyle w:val="Legenda"/>
        <w:keepNext/>
        <w:jc w:val="both"/>
      </w:pPr>
    </w:p>
    <w:p w:rsidR="00504795" w:rsidRDefault="00BF34F1" w:rsidP="00504795">
      <w:pPr>
        <w:keepNext/>
        <w:spacing w:after="120"/>
        <w:jc w:val="both"/>
      </w:pPr>
      <w:r>
        <w:rPr>
          <w:rFonts w:ascii="Times New Roman" w:hAnsi="Times New Roman"/>
          <w:noProof/>
          <w:sz w:val="24"/>
          <w:szCs w:val="24"/>
          <w:lang w:eastAsia="pt-BR"/>
        </w:rPr>
        <w:drawing>
          <wp:inline distT="0" distB="0" distL="0" distR="0" wp14:anchorId="5F4E88AC" wp14:editId="62DE180E">
            <wp:extent cx="5829300" cy="4867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1).png"/>
                    <pic:cNvPicPr/>
                  </pic:nvPicPr>
                  <pic:blipFill rotWithShape="1">
                    <a:blip r:embed="rId6">
                      <a:extLst>
                        <a:ext uri="{28A0092B-C50C-407E-A947-70E740481C1C}">
                          <a14:useLocalDpi xmlns:a14="http://schemas.microsoft.com/office/drawing/2010/main" val="0"/>
                        </a:ext>
                      </a:extLst>
                    </a:blip>
                    <a:srcRect l="27619" t="21180" r="29217" b="11747"/>
                    <a:stretch/>
                  </pic:blipFill>
                  <pic:spPr bwMode="auto">
                    <a:xfrm>
                      <a:off x="0" y="0"/>
                      <a:ext cx="5829300" cy="4867275"/>
                    </a:xfrm>
                    <a:prstGeom prst="rect">
                      <a:avLst/>
                    </a:prstGeom>
                    <a:ln>
                      <a:noFill/>
                    </a:ln>
                    <a:extLst>
                      <a:ext uri="{53640926-AAD7-44D8-BBD7-CCE9431645EC}">
                        <a14:shadowObscured xmlns:a14="http://schemas.microsoft.com/office/drawing/2010/main"/>
                      </a:ext>
                    </a:extLst>
                  </pic:spPr>
                </pic:pic>
              </a:graphicData>
            </a:graphic>
          </wp:inline>
        </w:drawing>
      </w:r>
    </w:p>
    <w:p w:rsidR="00BF34F1" w:rsidRPr="00394C5F" w:rsidRDefault="00504795" w:rsidP="00504795">
      <w:pPr>
        <w:pStyle w:val="Legenda"/>
        <w:jc w:val="both"/>
        <w:rPr>
          <w:rFonts w:ascii="Times New Roman" w:hAnsi="Times New Roman"/>
          <w:sz w:val="24"/>
          <w:szCs w:val="24"/>
        </w:rPr>
      </w:pPr>
      <w:r>
        <w:t xml:space="preserve">Figura </w:t>
      </w:r>
      <w:r>
        <w:fldChar w:fldCharType="begin"/>
      </w:r>
      <w:r>
        <w:instrText xml:space="preserve"> SEQ Figura \* ARABIC </w:instrText>
      </w:r>
      <w:r>
        <w:fldChar w:fldCharType="separate"/>
      </w:r>
      <w:r w:rsidR="00717111">
        <w:rPr>
          <w:noProof/>
        </w:rPr>
        <w:t>1</w:t>
      </w:r>
      <w:r>
        <w:fldChar w:fldCharType="end"/>
      </w:r>
      <w:r>
        <w:t>: COMPOSIÇÃO DA AMOSTRA POR PAÍS</w:t>
      </w:r>
    </w:p>
    <w:p w:rsidR="000D33C4" w:rsidRDefault="000D33C4" w:rsidP="002C2790">
      <w:pPr>
        <w:spacing w:after="120"/>
        <w:jc w:val="both"/>
        <w:rPr>
          <w:rFonts w:ascii="Times New Roman" w:hAnsi="Times New Roman"/>
          <w:b/>
          <w:sz w:val="24"/>
          <w:szCs w:val="24"/>
        </w:rPr>
      </w:pPr>
    </w:p>
    <w:p w:rsidR="00277541" w:rsidRPr="001271EE" w:rsidRDefault="002C2790" w:rsidP="002C2790">
      <w:pPr>
        <w:spacing w:after="120"/>
        <w:jc w:val="both"/>
        <w:rPr>
          <w:rFonts w:ascii="Times New Roman" w:hAnsi="Times New Roman"/>
          <w:b/>
          <w:sz w:val="24"/>
          <w:szCs w:val="24"/>
        </w:rPr>
      </w:pPr>
      <w:r>
        <w:rPr>
          <w:rFonts w:ascii="Times New Roman" w:hAnsi="Times New Roman"/>
          <w:b/>
          <w:sz w:val="24"/>
          <w:szCs w:val="24"/>
        </w:rPr>
        <w:t xml:space="preserve">3 </w:t>
      </w:r>
      <w:r w:rsidR="00856EF1">
        <w:rPr>
          <w:rFonts w:ascii="Times New Roman" w:hAnsi="Times New Roman"/>
          <w:b/>
          <w:sz w:val="24"/>
          <w:szCs w:val="24"/>
        </w:rPr>
        <w:t xml:space="preserve">   </w:t>
      </w:r>
      <w:r w:rsidR="00277541" w:rsidRPr="001271EE">
        <w:rPr>
          <w:rFonts w:ascii="Times New Roman" w:hAnsi="Times New Roman"/>
          <w:b/>
          <w:sz w:val="24"/>
          <w:szCs w:val="24"/>
        </w:rPr>
        <w:t>Metodologia</w:t>
      </w:r>
    </w:p>
    <w:p w:rsidR="00277541" w:rsidRPr="001271EE" w:rsidRDefault="00277541" w:rsidP="002E26BA">
      <w:pPr>
        <w:spacing w:after="120"/>
        <w:ind w:firstLine="709"/>
        <w:jc w:val="both"/>
        <w:rPr>
          <w:rFonts w:ascii="Times New Roman" w:hAnsi="Times New Roman"/>
          <w:sz w:val="24"/>
          <w:szCs w:val="24"/>
        </w:rPr>
      </w:pPr>
      <w:r w:rsidRPr="001271EE">
        <w:rPr>
          <w:rFonts w:ascii="Times New Roman" w:hAnsi="Times New Roman"/>
          <w:sz w:val="24"/>
          <w:szCs w:val="24"/>
        </w:rPr>
        <w:t xml:space="preserve">A metodologia proposta para este trabalho baseia-se na pesquisa bibliográfica e na aplicação de procedimentos da </w:t>
      </w:r>
      <w:proofErr w:type="spellStart"/>
      <w:r w:rsidRPr="001271EE">
        <w:rPr>
          <w:rFonts w:ascii="Times New Roman" w:hAnsi="Times New Roman"/>
          <w:sz w:val="24"/>
          <w:szCs w:val="24"/>
        </w:rPr>
        <w:t>bibliometria</w:t>
      </w:r>
      <w:proofErr w:type="spellEnd"/>
      <w:r w:rsidRPr="001271EE">
        <w:rPr>
          <w:rFonts w:ascii="Times New Roman" w:hAnsi="Times New Roman"/>
          <w:sz w:val="24"/>
          <w:szCs w:val="24"/>
        </w:rPr>
        <w:t>, com o objetivo de apresentar um levantamento bibliográfico e quantifi</w:t>
      </w:r>
      <w:r>
        <w:rPr>
          <w:rFonts w:ascii="Times New Roman" w:hAnsi="Times New Roman"/>
          <w:sz w:val="24"/>
          <w:szCs w:val="24"/>
        </w:rPr>
        <w:t xml:space="preserve">car a literatura internacional </w:t>
      </w:r>
      <w:r w:rsidRPr="001271EE">
        <w:rPr>
          <w:rFonts w:ascii="Times New Roman" w:hAnsi="Times New Roman"/>
          <w:sz w:val="24"/>
          <w:szCs w:val="24"/>
        </w:rPr>
        <w:t xml:space="preserve">sobre a gestão do conhecimento e </w:t>
      </w:r>
      <w:r>
        <w:rPr>
          <w:rFonts w:ascii="Times New Roman" w:hAnsi="Times New Roman"/>
          <w:sz w:val="24"/>
          <w:szCs w:val="24"/>
        </w:rPr>
        <w:t xml:space="preserve">da </w:t>
      </w:r>
      <w:r w:rsidRPr="001271EE">
        <w:rPr>
          <w:rFonts w:ascii="Times New Roman" w:hAnsi="Times New Roman"/>
          <w:sz w:val="24"/>
          <w:szCs w:val="24"/>
        </w:rPr>
        <w:t>inovação</w:t>
      </w:r>
      <w:r>
        <w:rPr>
          <w:rFonts w:ascii="Times New Roman" w:hAnsi="Times New Roman"/>
          <w:sz w:val="24"/>
          <w:szCs w:val="24"/>
        </w:rPr>
        <w:t xml:space="preserve"> no período de</w:t>
      </w:r>
      <w:r w:rsidRPr="00AE3C06">
        <w:rPr>
          <w:rFonts w:ascii="Times New Roman" w:hAnsi="Times New Roman"/>
          <w:sz w:val="24"/>
          <w:szCs w:val="24"/>
        </w:rPr>
        <w:t xml:space="preserve"> </w:t>
      </w:r>
      <w:r w:rsidR="001228FE" w:rsidRPr="00397D75">
        <w:rPr>
          <w:rFonts w:ascii="Times New Roman" w:hAnsi="Times New Roman"/>
          <w:sz w:val="24"/>
          <w:szCs w:val="24"/>
        </w:rPr>
        <w:t>1910 a 2016</w:t>
      </w:r>
      <w:r w:rsidRPr="00397D75">
        <w:rPr>
          <w:rFonts w:ascii="Times New Roman" w:hAnsi="Times New Roman"/>
          <w:sz w:val="24"/>
          <w:szCs w:val="24"/>
        </w:rPr>
        <w:t>.</w:t>
      </w:r>
    </w:p>
    <w:p w:rsidR="00277541" w:rsidRPr="001271EE" w:rsidRDefault="00277541" w:rsidP="002E26BA">
      <w:pPr>
        <w:spacing w:after="120"/>
        <w:ind w:firstLine="708"/>
        <w:jc w:val="both"/>
        <w:rPr>
          <w:rFonts w:ascii="Times New Roman" w:hAnsi="Times New Roman"/>
          <w:sz w:val="24"/>
          <w:szCs w:val="24"/>
        </w:rPr>
      </w:pPr>
      <w:r w:rsidRPr="001271EE">
        <w:rPr>
          <w:rFonts w:ascii="Times New Roman" w:hAnsi="Times New Roman"/>
          <w:sz w:val="24"/>
          <w:szCs w:val="24"/>
        </w:rPr>
        <w:t xml:space="preserve">A amostra inicial de </w:t>
      </w:r>
      <w:r w:rsidRPr="00397D75">
        <w:rPr>
          <w:rFonts w:ascii="Times New Roman" w:hAnsi="Times New Roman"/>
          <w:sz w:val="24"/>
          <w:szCs w:val="24"/>
        </w:rPr>
        <w:t xml:space="preserve">trabalho foi obtida por meio de pesquisa na base de dados </w:t>
      </w:r>
      <w:r w:rsidRPr="00397D75">
        <w:rPr>
          <w:rFonts w:ascii="Times New Roman" w:hAnsi="Times New Roman"/>
          <w:i/>
          <w:sz w:val="24"/>
          <w:szCs w:val="24"/>
        </w:rPr>
        <w:t xml:space="preserve">ISI Web </w:t>
      </w:r>
      <w:proofErr w:type="spellStart"/>
      <w:r w:rsidRPr="00397D75">
        <w:rPr>
          <w:rFonts w:ascii="Times New Roman" w:hAnsi="Times New Roman"/>
          <w:i/>
          <w:sz w:val="24"/>
          <w:szCs w:val="24"/>
        </w:rPr>
        <w:t>of</w:t>
      </w:r>
      <w:proofErr w:type="spellEnd"/>
      <w:r w:rsidRPr="00397D75">
        <w:rPr>
          <w:rFonts w:ascii="Times New Roman" w:hAnsi="Times New Roman"/>
          <w:i/>
          <w:sz w:val="24"/>
          <w:szCs w:val="24"/>
        </w:rPr>
        <w:t xml:space="preserve"> Science</w:t>
      </w:r>
      <w:r w:rsidRPr="00397D75">
        <w:rPr>
          <w:rFonts w:ascii="Times New Roman" w:hAnsi="Times New Roman"/>
          <w:sz w:val="24"/>
          <w:szCs w:val="24"/>
        </w:rPr>
        <w:t xml:space="preserve"> das palavras-chave </w:t>
      </w:r>
      <w:proofErr w:type="spellStart"/>
      <w:r w:rsidR="001228FE" w:rsidRPr="00397D75">
        <w:rPr>
          <w:rFonts w:ascii="Times New Roman" w:hAnsi="Times New Roman"/>
          <w:i/>
          <w:sz w:val="24"/>
          <w:szCs w:val="24"/>
        </w:rPr>
        <w:t>report</w:t>
      </w:r>
      <w:proofErr w:type="spellEnd"/>
      <w:r w:rsidR="001228FE" w:rsidRPr="00397D75">
        <w:rPr>
          <w:rFonts w:ascii="Times New Roman" w:hAnsi="Times New Roman"/>
          <w:sz w:val="24"/>
          <w:szCs w:val="24"/>
        </w:rPr>
        <w:t xml:space="preserve">, </w:t>
      </w:r>
      <w:proofErr w:type="spellStart"/>
      <w:r w:rsidR="001228FE" w:rsidRPr="00397D75">
        <w:rPr>
          <w:rFonts w:ascii="Times New Roman" w:hAnsi="Times New Roman"/>
          <w:i/>
          <w:sz w:val="24"/>
          <w:szCs w:val="24"/>
        </w:rPr>
        <w:t>economic</w:t>
      </w:r>
      <w:proofErr w:type="spellEnd"/>
      <w:r w:rsidR="001228FE" w:rsidRPr="00397D75">
        <w:rPr>
          <w:rFonts w:ascii="Times New Roman" w:hAnsi="Times New Roman"/>
          <w:i/>
          <w:sz w:val="24"/>
          <w:szCs w:val="24"/>
        </w:rPr>
        <w:t xml:space="preserve"> e </w:t>
      </w:r>
      <w:proofErr w:type="spellStart"/>
      <w:r w:rsidR="001228FE" w:rsidRPr="00397D75">
        <w:rPr>
          <w:rFonts w:ascii="Times New Roman" w:hAnsi="Times New Roman"/>
          <w:i/>
          <w:sz w:val="24"/>
          <w:szCs w:val="24"/>
        </w:rPr>
        <w:t>accounting</w:t>
      </w:r>
      <w:proofErr w:type="spellEnd"/>
      <w:r w:rsidRPr="00397D75">
        <w:rPr>
          <w:rFonts w:ascii="Times New Roman" w:hAnsi="Times New Roman"/>
          <w:sz w:val="24"/>
          <w:szCs w:val="24"/>
        </w:rPr>
        <w:t>,</w:t>
      </w:r>
      <w:r w:rsidR="001228FE" w:rsidRPr="00397D75">
        <w:rPr>
          <w:rFonts w:ascii="Times New Roman" w:hAnsi="Times New Roman"/>
          <w:sz w:val="24"/>
          <w:szCs w:val="24"/>
        </w:rPr>
        <w:t xml:space="preserve"> </w:t>
      </w:r>
      <w:r w:rsidRPr="00397D75">
        <w:rPr>
          <w:rFonts w:ascii="Times New Roman" w:hAnsi="Times New Roman"/>
          <w:sz w:val="24"/>
          <w:szCs w:val="24"/>
        </w:rPr>
        <w:t xml:space="preserve">usando apenas a seleção de artigos, o que resultou em </w:t>
      </w:r>
      <w:r w:rsidR="001228FE" w:rsidRPr="00397D75">
        <w:rPr>
          <w:rFonts w:ascii="Times New Roman" w:hAnsi="Times New Roman"/>
          <w:sz w:val="24"/>
          <w:szCs w:val="24"/>
        </w:rPr>
        <w:t>4.331</w:t>
      </w:r>
      <w:r w:rsidRPr="00397D75">
        <w:rPr>
          <w:rFonts w:ascii="Times New Roman" w:hAnsi="Times New Roman"/>
          <w:sz w:val="24"/>
          <w:szCs w:val="24"/>
        </w:rPr>
        <w:t xml:space="preserve"> trabalhos. Com a leitura do título e resumo, foram selecionados os mais direcionados à área de interesse, restringindo a amostra para </w:t>
      </w:r>
      <w:r w:rsidR="00AF1ABF">
        <w:rPr>
          <w:rFonts w:ascii="Times New Roman" w:hAnsi="Times New Roman"/>
          <w:sz w:val="24"/>
          <w:szCs w:val="24"/>
        </w:rPr>
        <w:t>367</w:t>
      </w:r>
      <w:r w:rsidRPr="00397D75">
        <w:rPr>
          <w:rFonts w:ascii="Times New Roman" w:hAnsi="Times New Roman"/>
          <w:sz w:val="24"/>
          <w:szCs w:val="24"/>
        </w:rPr>
        <w:t xml:space="preserve"> artigos.</w:t>
      </w:r>
      <w:r w:rsidRPr="001271EE">
        <w:rPr>
          <w:rFonts w:ascii="Times New Roman" w:hAnsi="Times New Roman"/>
          <w:sz w:val="24"/>
          <w:szCs w:val="24"/>
        </w:rPr>
        <w:t xml:space="preserve"> </w:t>
      </w:r>
    </w:p>
    <w:p w:rsidR="00277541" w:rsidRPr="001271EE" w:rsidRDefault="00277541" w:rsidP="002E26BA">
      <w:pPr>
        <w:spacing w:after="120"/>
        <w:ind w:firstLine="708"/>
        <w:jc w:val="both"/>
        <w:rPr>
          <w:rFonts w:ascii="Times New Roman" w:hAnsi="Times New Roman"/>
          <w:sz w:val="24"/>
          <w:szCs w:val="24"/>
        </w:rPr>
      </w:pPr>
      <w:r w:rsidRPr="001271EE">
        <w:rPr>
          <w:rFonts w:ascii="Times New Roman" w:hAnsi="Times New Roman"/>
          <w:sz w:val="24"/>
          <w:szCs w:val="24"/>
        </w:rPr>
        <w:t xml:space="preserve">A partir desta seleção, foi criado um banco de dados com o auxílio do Microsoft Excel e da ferramenta </w:t>
      </w:r>
      <w:proofErr w:type="spellStart"/>
      <w:r w:rsidRPr="001271EE">
        <w:rPr>
          <w:rFonts w:ascii="Times New Roman" w:hAnsi="Times New Roman"/>
          <w:i/>
          <w:sz w:val="24"/>
          <w:szCs w:val="24"/>
        </w:rPr>
        <w:t>HistCite</w:t>
      </w:r>
      <w:proofErr w:type="spellEnd"/>
      <w:r w:rsidRPr="001271EE">
        <w:rPr>
          <w:rFonts w:ascii="Times New Roman" w:hAnsi="Times New Roman"/>
          <w:sz w:val="24"/>
          <w:szCs w:val="24"/>
        </w:rPr>
        <w:t xml:space="preserve">, </w:t>
      </w:r>
      <w:r w:rsidRPr="000E29EE">
        <w:rPr>
          <w:rFonts w:ascii="Times New Roman" w:hAnsi="Times New Roman"/>
          <w:i/>
          <w:sz w:val="24"/>
          <w:szCs w:val="24"/>
        </w:rPr>
        <w:t>software</w:t>
      </w:r>
      <w:r>
        <w:rPr>
          <w:rFonts w:ascii="Times New Roman" w:hAnsi="Times New Roman"/>
          <w:sz w:val="24"/>
          <w:szCs w:val="24"/>
        </w:rPr>
        <w:t xml:space="preserve"> que facilita a visualização dos resultados de buscas realizadas no</w:t>
      </w:r>
      <w:r w:rsidRPr="00BC1B71">
        <w:rPr>
          <w:rFonts w:ascii="Times New Roman" w:hAnsi="Times New Roman"/>
          <w:i/>
          <w:sz w:val="24"/>
          <w:szCs w:val="24"/>
        </w:rPr>
        <w:t xml:space="preserve">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por meio de estrutura d</w:t>
      </w:r>
      <w:r w:rsidR="00E442B1">
        <w:rPr>
          <w:rFonts w:ascii="Times New Roman" w:hAnsi="Times New Roman"/>
          <w:sz w:val="24"/>
          <w:szCs w:val="24"/>
        </w:rPr>
        <w:t xml:space="preserve">e históricos e relacionamentos </w:t>
      </w:r>
      <w:r w:rsidR="00E442B1">
        <w:rPr>
          <w:rFonts w:ascii="Times New Roman" w:hAnsi="Times New Roman"/>
          <w:sz w:val="24"/>
          <w:szCs w:val="24"/>
        </w:rPr>
        <w:fldChar w:fldCharType="begin" w:fldLock="1"/>
      </w:r>
      <w:r w:rsidR="00BF34F1">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"id" : "ITEM-1", "issue" : "8", "issued" : { "date-parts" : [ [ "2006" ] ] }, "page" : "391-400", "title" : "A software tool for informetric analysis of citation linkage.", "type" : "article-journal", "volume" : "57" }, "uris" : [ "http://www.mendeley.com/documents/?uuid=a95d8425-ab52-43d3-bf45-a15fc86c901c", "http://www.mendeley.com/documents/?uuid=a455e87a-efb1-4266-89cf-866ec39f6ead", "http://www.mendeley.com/documents/?uuid=daf36322-c66e-4f37-b42f-366e27ffac60", "http://www.mendeley.com/documents/?uuid=39f2d7ea-54ec-4fcc-a5c5-8c468b215baf" ] } ], "mendeley" : { "formattedCitation" : "(GARFIELD, E.; PARIS, S. W.; STOCK, 2006)", "plainTextFormattedCitation" : "(GARFIELD, E.; PARIS, S. W.; STOCK, 2006)", "previouslyFormattedCitation" : "(GARFIELD, E.; PARIS, S. W.; STOCK, 2006)" }, "properties" : {  }, "schema" : "https://github.com/citation-style-language/schema/raw/master/csl-citation.json" }</w:instrText>
      </w:r>
      <w:r w:rsidR="00E442B1">
        <w:rPr>
          <w:rFonts w:ascii="Times New Roman" w:hAnsi="Times New Roman"/>
          <w:sz w:val="24"/>
          <w:szCs w:val="24"/>
        </w:rPr>
        <w:fldChar w:fldCharType="separate"/>
      </w:r>
      <w:r w:rsidR="005B376A" w:rsidRPr="005B376A">
        <w:rPr>
          <w:rFonts w:ascii="Times New Roman" w:hAnsi="Times New Roman"/>
          <w:noProof/>
          <w:sz w:val="24"/>
          <w:szCs w:val="24"/>
        </w:rPr>
        <w:t>(GARFIELD, E.; PARIS, S. W.; STOCK, 2006)</w:t>
      </w:r>
      <w:r w:rsidR="00E442B1">
        <w:rPr>
          <w:rFonts w:ascii="Times New Roman" w:hAnsi="Times New Roman"/>
          <w:sz w:val="24"/>
          <w:szCs w:val="24"/>
        </w:rPr>
        <w:fldChar w:fldCharType="end"/>
      </w:r>
      <w:r>
        <w:rPr>
          <w:rFonts w:ascii="Times New Roman" w:hAnsi="Times New Roman"/>
          <w:sz w:val="24"/>
          <w:szCs w:val="24"/>
        </w:rPr>
        <w:t xml:space="preserve">. Os dados obtidos relacionam nomes dos </w:t>
      </w:r>
      <w:r>
        <w:rPr>
          <w:rFonts w:ascii="Times New Roman" w:hAnsi="Times New Roman"/>
          <w:sz w:val="24"/>
          <w:szCs w:val="24"/>
        </w:rPr>
        <w:lastRenderedPageBreak/>
        <w:t xml:space="preserve">artigos, principais palavras, </w:t>
      </w:r>
      <w:r w:rsidRPr="001271EE">
        <w:rPr>
          <w:rFonts w:ascii="Times New Roman" w:hAnsi="Times New Roman"/>
          <w:sz w:val="24"/>
          <w:szCs w:val="24"/>
        </w:rPr>
        <w:t>artigos por autores, periódicos em que o</w:t>
      </w:r>
      <w:r>
        <w:rPr>
          <w:rFonts w:ascii="Times New Roman" w:hAnsi="Times New Roman"/>
          <w:sz w:val="24"/>
          <w:szCs w:val="24"/>
        </w:rPr>
        <w:t>s</w:t>
      </w:r>
      <w:r w:rsidRPr="001271EE">
        <w:rPr>
          <w:rFonts w:ascii="Times New Roman" w:hAnsi="Times New Roman"/>
          <w:sz w:val="24"/>
          <w:szCs w:val="24"/>
        </w:rPr>
        <w:t xml:space="preserve"> trabalhos foram p</w:t>
      </w:r>
      <w:r>
        <w:rPr>
          <w:rFonts w:ascii="Times New Roman" w:hAnsi="Times New Roman"/>
          <w:sz w:val="24"/>
          <w:szCs w:val="24"/>
        </w:rPr>
        <w:t>ublicados e anos de publicação.</w:t>
      </w:r>
    </w:p>
    <w:p w:rsidR="00277541" w:rsidRPr="001271EE" w:rsidRDefault="00277541" w:rsidP="002E26BA">
      <w:pPr>
        <w:spacing w:after="120"/>
        <w:ind w:firstLine="708"/>
        <w:jc w:val="both"/>
        <w:rPr>
          <w:rFonts w:ascii="Times New Roman" w:hAnsi="Times New Roman"/>
          <w:sz w:val="24"/>
          <w:szCs w:val="24"/>
        </w:rPr>
      </w:pPr>
      <w:r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277541" w:rsidRPr="001271EE" w:rsidRDefault="00277541" w:rsidP="002E26BA">
      <w:pPr>
        <w:spacing w:after="120"/>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igura 2</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p>
    <w:p w:rsidR="00277541" w:rsidRDefault="00277541" w:rsidP="002E26BA">
      <w:pPr>
        <w:spacing w:after="120"/>
        <w:ind w:firstLine="708"/>
        <w:rPr>
          <w:rFonts w:ascii="Times New Roman" w:hAnsi="Times New Roman"/>
          <w:sz w:val="24"/>
          <w:szCs w:val="24"/>
        </w:rPr>
      </w:pPr>
    </w:p>
    <w:p w:rsidR="00277541" w:rsidRDefault="003C5D9F" w:rsidP="002E26BA">
      <w:pPr>
        <w:spacing w:after="120"/>
        <w:ind w:firstLine="708"/>
        <w:rPr>
          <w:rFonts w:ascii="Times New Roman" w:hAnsi="Times New Roman"/>
          <w:sz w:val="24"/>
          <w:szCs w:val="24"/>
        </w:rPr>
      </w:pPr>
      <w:r w:rsidRPr="00AE05BD">
        <w:rPr>
          <w:rFonts w:ascii="Times New Roman" w:hAnsi="Times New Roman"/>
          <w:noProof/>
          <w:sz w:val="24"/>
          <w:szCs w:val="24"/>
          <w:lang w:eastAsia="pt-BR"/>
        </w:rPr>
        <w:drawing>
          <wp:inline distT="0" distB="0" distL="0" distR="0" wp14:anchorId="53D73E06" wp14:editId="037340B4">
            <wp:extent cx="4869180" cy="27774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9180" cy="2777490"/>
                    </a:xfrm>
                    <a:prstGeom prst="rect">
                      <a:avLst/>
                    </a:prstGeom>
                    <a:noFill/>
                    <a:ln>
                      <a:noFill/>
                    </a:ln>
                  </pic:spPr>
                </pic:pic>
              </a:graphicData>
            </a:graphic>
          </wp:inline>
        </w:drawing>
      </w:r>
    </w:p>
    <w:p w:rsidR="00277541" w:rsidRDefault="00277541" w:rsidP="0065052F">
      <w:pPr>
        <w:spacing w:after="120"/>
        <w:rPr>
          <w:rFonts w:ascii="Times New Roman" w:hAnsi="Times New Roman"/>
          <w:sz w:val="20"/>
          <w:szCs w:val="20"/>
        </w:rPr>
      </w:pPr>
      <w:r>
        <w:rPr>
          <w:rFonts w:ascii="Times New Roman" w:hAnsi="Times New Roman"/>
          <w:sz w:val="20"/>
          <w:szCs w:val="20"/>
        </w:rPr>
        <w:t>FIGURA</w:t>
      </w:r>
      <w:r w:rsidRPr="00A120B5">
        <w:rPr>
          <w:rFonts w:ascii="Times New Roman" w:hAnsi="Times New Roman"/>
          <w:sz w:val="20"/>
          <w:szCs w:val="20"/>
        </w:rPr>
        <w:t xml:space="preserve"> 2 – Representação gráfica das fases da metodologia</w:t>
      </w:r>
    </w:p>
    <w:p w:rsidR="00277541" w:rsidRPr="00A120B5" w:rsidRDefault="00277541" w:rsidP="002E26BA">
      <w:pPr>
        <w:spacing w:after="120"/>
        <w:ind w:firstLine="708"/>
        <w:jc w:val="both"/>
        <w:rPr>
          <w:rFonts w:ascii="Times New Roman" w:hAnsi="Times New Roman"/>
          <w:sz w:val="20"/>
          <w:szCs w:val="20"/>
        </w:rPr>
      </w:pPr>
    </w:p>
    <w:p w:rsidR="00277541" w:rsidRPr="001271EE" w:rsidRDefault="00277541" w:rsidP="002E26BA">
      <w:pPr>
        <w:spacing w:after="120"/>
        <w:ind w:firstLine="708"/>
        <w:jc w:val="both"/>
        <w:rPr>
          <w:rFonts w:ascii="Times New Roman" w:hAnsi="Times New Roman"/>
          <w:sz w:val="24"/>
          <w:szCs w:val="24"/>
        </w:rPr>
      </w:pPr>
      <w:r w:rsidRPr="001271EE">
        <w:rPr>
          <w:rFonts w:ascii="Times New Roman" w:hAnsi="Times New Roman"/>
          <w:sz w:val="24"/>
          <w:szCs w:val="24"/>
        </w:rPr>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p>
    <w:p w:rsidR="00277541" w:rsidRDefault="00277541" w:rsidP="002E26BA">
      <w:pPr>
        <w:spacing w:after="120"/>
        <w:jc w:val="both"/>
        <w:rPr>
          <w:rFonts w:ascii="Times New Roman" w:hAnsi="Times New Roman"/>
          <w:sz w:val="24"/>
          <w:szCs w:val="24"/>
        </w:rPr>
      </w:pPr>
    </w:p>
    <w:p w:rsidR="004A4578" w:rsidRDefault="004A4578" w:rsidP="002E26BA">
      <w:pPr>
        <w:spacing w:after="120"/>
        <w:jc w:val="both"/>
        <w:rPr>
          <w:rFonts w:ascii="Times New Roman" w:hAnsi="Times New Roman"/>
          <w:sz w:val="24"/>
          <w:szCs w:val="24"/>
        </w:rPr>
      </w:pPr>
    </w:p>
    <w:p w:rsidR="004A4578" w:rsidRDefault="004A4578" w:rsidP="002E26BA">
      <w:pPr>
        <w:spacing w:after="120"/>
        <w:jc w:val="both"/>
        <w:rPr>
          <w:rFonts w:ascii="Times New Roman" w:hAnsi="Times New Roman"/>
          <w:sz w:val="24"/>
          <w:szCs w:val="24"/>
        </w:rPr>
      </w:pPr>
    </w:p>
    <w:p w:rsidR="004A4578" w:rsidRDefault="004A4578" w:rsidP="002E26BA">
      <w:pPr>
        <w:spacing w:after="120"/>
        <w:jc w:val="both"/>
        <w:rPr>
          <w:rFonts w:ascii="Times New Roman" w:hAnsi="Times New Roman"/>
          <w:sz w:val="24"/>
          <w:szCs w:val="24"/>
        </w:rPr>
      </w:pPr>
    </w:p>
    <w:p w:rsidR="004A4578" w:rsidRDefault="004A4578" w:rsidP="002E26BA">
      <w:pPr>
        <w:spacing w:after="120"/>
        <w:jc w:val="both"/>
        <w:rPr>
          <w:rFonts w:ascii="Times New Roman" w:hAnsi="Times New Roman"/>
          <w:sz w:val="24"/>
          <w:szCs w:val="24"/>
        </w:rPr>
      </w:pPr>
    </w:p>
    <w:p w:rsidR="004A4578" w:rsidRPr="001271EE" w:rsidRDefault="004A4578" w:rsidP="002E26BA">
      <w:pPr>
        <w:spacing w:after="120"/>
        <w:jc w:val="both"/>
        <w:rPr>
          <w:rFonts w:ascii="Times New Roman" w:hAnsi="Times New Roman"/>
          <w:sz w:val="24"/>
          <w:szCs w:val="24"/>
        </w:rPr>
      </w:pPr>
    </w:p>
    <w:p w:rsidR="00277541" w:rsidRDefault="002C2790" w:rsidP="00856EF1">
      <w:pPr>
        <w:pStyle w:val="PargrafodaLista"/>
        <w:numPr>
          <w:ilvl w:val="0"/>
          <w:numId w:val="8"/>
        </w:numPr>
        <w:spacing w:after="120"/>
        <w:rPr>
          <w:rFonts w:ascii="Times New Roman" w:hAnsi="Times New Roman"/>
          <w:b/>
          <w:sz w:val="24"/>
          <w:szCs w:val="24"/>
        </w:rPr>
      </w:pPr>
      <w:r w:rsidRPr="00856EF1">
        <w:rPr>
          <w:rFonts w:ascii="Times New Roman" w:hAnsi="Times New Roman"/>
          <w:b/>
          <w:sz w:val="24"/>
          <w:szCs w:val="24"/>
        </w:rPr>
        <w:t>Discussão dos resulta</w:t>
      </w:r>
      <w:r w:rsidR="007141AB" w:rsidRPr="00856EF1">
        <w:rPr>
          <w:rFonts w:ascii="Times New Roman" w:hAnsi="Times New Roman"/>
          <w:b/>
          <w:sz w:val="24"/>
          <w:szCs w:val="24"/>
        </w:rPr>
        <w:t>dos</w:t>
      </w:r>
    </w:p>
    <w:p w:rsidR="00342BFC" w:rsidRPr="00342BFC" w:rsidRDefault="00342BFC" w:rsidP="00342BFC">
      <w:pPr>
        <w:pStyle w:val="PargrafodaLista"/>
        <w:spacing w:after="120"/>
        <w:ind w:left="360"/>
        <w:jc w:val="both"/>
        <w:rPr>
          <w:rFonts w:ascii="Times New Roman" w:hAnsi="Times New Roman"/>
          <w:b/>
          <w:sz w:val="24"/>
          <w:szCs w:val="24"/>
        </w:rPr>
      </w:pPr>
    </w:p>
    <w:p w:rsidR="00342BFC" w:rsidRPr="00342BFC" w:rsidRDefault="00342BFC" w:rsidP="00342BFC">
      <w:pPr>
        <w:pStyle w:val="PargrafodaLista"/>
        <w:spacing w:after="120"/>
        <w:ind w:left="360"/>
        <w:jc w:val="both"/>
        <w:rPr>
          <w:rFonts w:ascii="Times New Roman" w:hAnsi="Times New Roman"/>
          <w:b/>
          <w:sz w:val="24"/>
          <w:szCs w:val="24"/>
        </w:rPr>
      </w:pPr>
      <w:r w:rsidRPr="00342BFC">
        <w:rPr>
          <w:rFonts w:ascii="Times New Roman" w:hAnsi="Times New Roman"/>
          <w:b/>
          <w:sz w:val="24"/>
          <w:szCs w:val="24"/>
        </w:rPr>
        <w:t>5.1 Principais palavras</w:t>
      </w:r>
    </w:p>
    <w:p w:rsidR="00342BFC" w:rsidRDefault="00342BFC" w:rsidP="00342BFC">
      <w:pPr>
        <w:pStyle w:val="PargrafodaLista"/>
        <w:spacing w:after="120"/>
        <w:ind w:left="360"/>
        <w:rPr>
          <w:rFonts w:ascii="Times New Roman" w:hAnsi="Times New Roman"/>
          <w:b/>
          <w:sz w:val="24"/>
          <w:szCs w:val="24"/>
        </w:rPr>
      </w:pPr>
    </w:p>
    <w:p w:rsidR="00A14771" w:rsidRDefault="00A14771" w:rsidP="00342BFC">
      <w:pPr>
        <w:pStyle w:val="PargrafodaLista"/>
        <w:spacing w:after="120"/>
        <w:ind w:left="360"/>
        <w:rPr>
          <w:rFonts w:ascii="Times New Roman" w:hAnsi="Times New Roman"/>
          <w:b/>
          <w:sz w:val="24"/>
          <w:szCs w:val="24"/>
        </w:rPr>
      </w:pPr>
    </w:p>
    <w:p w:rsidR="00A14771" w:rsidRDefault="00A14771" w:rsidP="00342BFC">
      <w:pPr>
        <w:pStyle w:val="PargrafodaLista"/>
        <w:spacing w:after="120"/>
        <w:ind w:left="360"/>
        <w:rPr>
          <w:rFonts w:ascii="Times New Roman" w:hAnsi="Times New Roman"/>
          <w:b/>
          <w:sz w:val="24"/>
          <w:szCs w:val="24"/>
        </w:rPr>
      </w:pPr>
    </w:p>
    <w:p w:rsidR="00342BFC" w:rsidRDefault="00342BFC" w:rsidP="00342BFC">
      <w:pPr>
        <w:pStyle w:val="PargrafodaLista"/>
        <w:numPr>
          <w:ilvl w:val="1"/>
          <w:numId w:val="8"/>
        </w:numPr>
        <w:spacing w:after="120"/>
        <w:jc w:val="both"/>
        <w:rPr>
          <w:rFonts w:ascii="Times New Roman" w:hAnsi="Times New Roman"/>
          <w:b/>
          <w:sz w:val="24"/>
          <w:szCs w:val="24"/>
        </w:rPr>
      </w:pPr>
      <w:r w:rsidRPr="00342BFC">
        <w:rPr>
          <w:rFonts w:ascii="Times New Roman" w:hAnsi="Times New Roman"/>
          <w:b/>
          <w:sz w:val="24"/>
          <w:szCs w:val="24"/>
        </w:rPr>
        <w:lastRenderedPageBreak/>
        <w:t>Autores que mais publicaram e mais citados</w:t>
      </w:r>
    </w:p>
    <w:p w:rsidR="00342BFC" w:rsidRDefault="00342BFC" w:rsidP="00342BFC">
      <w:pPr>
        <w:pStyle w:val="PargrafodaLista"/>
        <w:spacing w:after="120"/>
        <w:jc w:val="both"/>
        <w:rPr>
          <w:rFonts w:ascii="Times New Roman" w:hAnsi="Times New Roman"/>
          <w:sz w:val="24"/>
          <w:szCs w:val="24"/>
        </w:rPr>
      </w:pPr>
    </w:p>
    <w:p w:rsidR="00342BFC" w:rsidRPr="00342BFC" w:rsidRDefault="00342BFC" w:rsidP="006512B7">
      <w:r>
        <w:t xml:space="preserve">       Podemos observar com a tabela sobre o top 10 de autores com mais publicações abaixo, que o número de publicações pelos autores sobre o tema é bem distribuído, tal que do primeiro autor ao décimo há a diferença de apenas 2 artigos.</w:t>
      </w:r>
    </w:p>
    <w:p w:rsidR="00342BFC" w:rsidRDefault="00342BFC" w:rsidP="00342BFC">
      <w:pPr>
        <w:pStyle w:val="PargrafodaLista"/>
        <w:spacing w:after="120"/>
        <w:ind w:left="360"/>
        <w:rPr>
          <w:rFonts w:ascii="Times New Roman" w:hAnsi="Times New Roman"/>
          <w:b/>
          <w:sz w:val="24"/>
          <w:szCs w:val="24"/>
        </w:rPr>
      </w:pPr>
    </w:p>
    <w:p w:rsidR="00FD3006" w:rsidRDefault="00FD3006" w:rsidP="00FD3006">
      <w:pPr>
        <w:pStyle w:val="PargrafodaLista"/>
        <w:keepNext/>
        <w:spacing w:after="120"/>
        <w:ind w:left="360"/>
      </w:pPr>
      <w:r>
        <w:rPr>
          <w:rFonts w:ascii="Times New Roman" w:hAnsi="Times New Roman"/>
          <w:noProof/>
          <w:sz w:val="24"/>
          <w:szCs w:val="21"/>
          <w:lang w:eastAsia="pt-BR"/>
        </w:rPr>
        <w:fldChar w:fldCharType="begin"/>
      </w:r>
      <w:r>
        <w:instrText xml:space="preserve"> REF _Ref501276740 </w:instrText>
      </w:r>
      <w:r>
        <w:rPr>
          <w:rFonts w:ascii="Times New Roman" w:hAnsi="Times New Roman"/>
          <w:noProof/>
          <w:sz w:val="24"/>
          <w:szCs w:val="21"/>
          <w:lang w:eastAsia="pt-BR"/>
        </w:rPr>
        <w:fldChar w:fldCharType="separate"/>
      </w:r>
      <w:r>
        <w:t xml:space="preserve">Figura </w:t>
      </w:r>
      <w:r>
        <w:rPr>
          <w:noProof/>
        </w:rPr>
        <w:t>2</w:t>
      </w:r>
      <w:r>
        <w:t>- Principais autores</w:t>
      </w:r>
      <w:r>
        <w:rPr>
          <w:rFonts w:ascii="Times New Roman" w:hAnsi="Times New Roman"/>
          <w:noProof/>
          <w:sz w:val="24"/>
          <w:szCs w:val="21"/>
          <w:lang w:eastAsia="pt-BR"/>
        </w:rPr>
        <w:fldChar w:fldCharType="end"/>
      </w:r>
      <w:r w:rsidR="00342BFC" w:rsidRPr="00342BFC">
        <w:rPr>
          <w:rFonts w:ascii="Times New Roman" w:hAnsi="Times New Roman"/>
          <w:noProof/>
          <w:sz w:val="24"/>
          <w:szCs w:val="21"/>
          <w:lang w:eastAsia="pt-BR"/>
        </w:rPr>
        <w:drawing>
          <wp:inline distT="0" distB="0" distL="0" distR="0" wp14:anchorId="3DB7B63F" wp14:editId="4BD76B20">
            <wp:extent cx="4067175" cy="2800350"/>
            <wp:effectExtent l="0" t="0" r="9525" b="0"/>
            <wp:docPr id="8" name="Imagem 8" descr="C:\Users\Vinicius\Pictures\Screenshots\Captura de Tel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icius\Pictures\Screenshots\Captura de Tela (7).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7064" r="72214" b="32928"/>
                    <a:stretch/>
                  </pic:blipFill>
                  <pic:spPr bwMode="auto">
                    <a:xfrm>
                      <a:off x="0" y="0"/>
                      <a:ext cx="4090210" cy="2816210"/>
                    </a:xfrm>
                    <a:prstGeom prst="rect">
                      <a:avLst/>
                    </a:prstGeom>
                    <a:noFill/>
                    <a:ln>
                      <a:noFill/>
                    </a:ln>
                    <a:extLst>
                      <a:ext uri="{53640926-AAD7-44D8-BBD7-CCE9431645EC}">
                        <a14:shadowObscured xmlns:a14="http://schemas.microsoft.com/office/drawing/2010/main"/>
                      </a:ext>
                    </a:extLst>
                  </pic:spPr>
                </pic:pic>
              </a:graphicData>
            </a:graphic>
          </wp:inline>
        </w:drawing>
      </w:r>
    </w:p>
    <w:p w:rsidR="00E63DD1" w:rsidRPr="00E63DD1" w:rsidRDefault="00E63DD1" w:rsidP="004A4578">
      <w:pPr>
        <w:pStyle w:val="PargrafodaLista"/>
        <w:spacing w:after="120"/>
        <w:ind w:left="360"/>
        <w:jc w:val="both"/>
        <w:rPr>
          <w:rFonts w:ascii="Times New Roman" w:hAnsi="Times New Roman"/>
          <w:sz w:val="24"/>
          <w:szCs w:val="24"/>
        </w:rPr>
      </w:pPr>
    </w:p>
    <w:p w:rsidR="00A14771" w:rsidRDefault="004A4578" w:rsidP="004A4578">
      <w:pPr>
        <w:pStyle w:val="PargrafodaLista"/>
        <w:spacing w:after="120"/>
        <w:ind w:left="360"/>
        <w:jc w:val="both"/>
        <w:rPr>
          <w:rFonts w:ascii="Times New Roman" w:hAnsi="Times New Roman"/>
          <w:noProof/>
          <w:sz w:val="24"/>
          <w:szCs w:val="21"/>
          <w:lang w:eastAsia="pt-BR"/>
        </w:rPr>
      </w:pPr>
      <w:r>
        <w:rPr>
          <w:rFonts w:ascii="Times New Roman" w:hAnsi="Times New Roman"/>
          <w:noProof/>
          <w:sz w:val="24"/>
          <w:szCs w:val="21"/>
          <w:lang w:eastAsia="pt-BR"/>
        </w:rPr>
        <w:t xml:space="preserve">      </w:t>
      </w:r>
    </w:p>
    <w:p w:rsidR="004A4578" w:rsidRDefault="004A4578" w:rsidP="004A4578">
      <w:pPr>
        <w:pStyle w:val="PargrafodaLista"/>
        <w:spacing w:after="120"/>
        <w:ind w:left="360"/>
        <w:jc w:val="both"/>
        <w:rPr>
          <w:rFonts w:ascii="Times New Roman" w:hAnsi="Times New Roman"/>
          <w:noProof/>
          <w:sz w:val="24"/>
          <w:szCs w:val="21"/>
          <w:lang w:eastAsia="pt-BR"/>
        </w:rPr>
      </w:pPr>
      <w:r>
        <w:rPr>
          <w:rFonts w:ascii="Times New Roman" w:hAnsi="Times New Roman"/>
          <w:noProof/>
          <w:sz w:val="24"/>
          <w:szCs w:val="21"/>
          <w:lang w:eastAsia="pt-BR"/>
        </w:rPr>
        <w:t xml:space="preserve">  Na tabela abaixo temos o top 10 dos autores mais citados do tema, com ele podemos notar que os autores não citam muito uns aos outros, uma vez que o tema ainda é bem novo, os únicos autores citados são o CARPENTER VL e o FEROZ EH o quais foram citados uma vez por alguém.</w:t>
      </w:r>
    </w:p>
    <w:p w:rsidR="004A4578" w:rsidRDefault="004A4578" w:rsidP="009643D6">
      <w:pPr>
        <w:pStyle w:val="PargrafodaLista"/>
        <w:spacing w:after="120"/>
        <w:ind w:left="360"/>
        <w:rPr>
          <w:rFonts w:ascii="Times New Roman" w:hAnsi="Times New Roman"/>
          <w:noProof/>
          <w:sz w:val="24"/>
          <w:szCs w:val="21"/>
          <w:lang w:eastAsia="pt-BR"/>
        </w:rPr>
      </w:pPr>
    </w:p>
    <w:p w:rsidR="004A4578" w:rsidRPr="004A4578" w:rsidRDefault="004A4578" w:rsidP="009643D6">
      <w:pPr>
        <w:pStyle w:val="PargrafodaLista"/>
        <w:spacing w:after="120"/>
        <w:ind w:left="360"/>
        <w:rPr>
          <w:rFonts w:ascii="Times New Roman" w:hAnsi="Times New Roman"/>
          <w:noProof/>
          <w:sz w:val="24"/>
          <w:szCs w:val="21"/>
          <w:lang w:eastAsia="pt-BR"/>
        </w:rPr>
      </w:pPr>
    </w:p>
    <w:p w:rsidR="00FD3006" w:rsidRDefault="00FD3006" w:rsidP="00FD3006">
      <w:pPr>
        <w:pStyle w:val="PargrafodaLista"/>
        <w:keepNext/>
        <w:spacing w:after="120"/>
        <w:ind w:left="360"/>
      </w:pPr>
      <w:r>
        <w:rPr>
          <w:rFonts w:ascii="Courier New" w:hAnsi="Courier New" w:cs="Courier New"/>
          <w:noProof/>
          <w:sz w:val="21"/>
          <w:szCs w:val="21"/>
          <w:lang w:eastAsia="pt-BR"/>
        </w:rPr>
        <w:fldChar w:fldCharType="begin"/>
      </w:r>
      <w:r>
        <w:instrText xml:space="preserve"> REF _Ref501276915 </w:instrText>
      </w:r>
      <w:r>
        <w:rPr>
          <w:rFonts w:ascii="Courier New" w:hAnsi="Courier New" w:cs="Courier New"/>
          <w:noProof/>
          <w:sz w:val="21"/>
          <w:szCs w:val="21"/>
          <w:lang w:eastAsia="pt-BR"/>
        </w:rPr>
        <w:fldChar w:fldCharType="separate"/>
      </w:r>
      <w:r>
        <w:t xml:space="preserve">Figura </w:t>
      </w:r>
      <w:r>
        <w:rPr>
          <w:noProof/>
        </w:rPr>
        <w:t>3</w:t>
      </w:r>
      <w:r>
        <w:t>- Autores com mais citações</w:t>
      </w:r>
      <w:r>
        <w:rPr>
          <w:rFonts w:ascii="Courier New" w:hAnsi="Courier New" w:cs="Courier New"/>
          <w:noProof/>
          <w:sz w:val="21"/>
          <w:szCs w:val="21"/>
          <w:lang w:eastAsia="pt-BR"/>
        </w:rPr>
        <w:fldChar w:fldCharType="end"/>
      </w:r>
      <w:r w:rsidR="002A3DA6" w:rsidRPr="002A3DA6">
        <w:rPr>
          <w:rFonts w:ascii="Courier New" w:hAnsi="Courier New" w:cs="Courier New"/>
          <w:noProof/>
          <w:sz w:val="21"/>
          <w:szCs w:val="21"/>
          <w:lang w:eastAsia="pt-BR"/>
        </w:rPr>
        <w:drawing>
          <wp:inline distT="0" distB="0" distL="0" distR="0" wp14:anchorId="3952153E" wp14:editId="1D05CB82">
            <wp:extent cx="5113020" cy="2181225"/>
            <wp:effectExtent l="0" t="0" r="0" b="9525"/>
            <wp:docPr id="2" name="Imagem 2" descr="C:\Users\Vinicius\Pictures\Screenshots\Captura de Te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icius\Pictures\Screenshots\Captura de Tela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6770" r="72214" b="32045"/>
                    <a:stretch/>
                  </pic:blipFill>
                  <pic:spPr bwMode="auto">
                    <a:xfrm>
                      <a:off x="0" y="0"/>
                      <a:ext cx="5271962" cy="2249030"/>
                    </a:xfrm>
                    <a:prstGeom prst="rect">
                      <a:avLst/>
                    </a:prstGeom>
                    <a:noFill/>
                    <a:ln>
                      <a:noFill/>
                    </a:ln>
                    <a:extLst>
                      <a:ext uri="{53640926-AAD7-44D8-BBD7-CCE9431645EC}">
                        <a14:shadowObscured xmlns:a14="http://schemas.microsoft.com/office/drawing/2010/main"/>
                      </a:ext>
                    </a:extLst>
                  </pic:spPr>
                </pic:pic>
              </a:graphicData>
            </a:graphic>
          </wp:inline>
        </w:drawing>
      </w:r>
    </w:p>
    <w:p w:rsidR="00504795" w:rsidRDefault="00504795" w:rsidP="006512B7">
      <w:pPr>
        <w:pStyle w:val="PargrafodaLista"/>
        <w:spacing w:after="120"/>
        <w:ind w:left="360"/>
        <w:rPr>
          <w:rFonts w:ascii="Times New Roman" w:hAnsi="Times New Roman"/>
          <w:b/>
          <w:sz w:val="24"/>
          <w:szCs w:val="24"/>
        </w:rPr>
      </w:pPr>
    </w:p>
    <w:p w:rsidR="00FD3006" w:rsidRDefault="00FD3006" w:rsidP="006512B7">
      <w:pPr>
        <w:pStyle w:val="PargrafodaLista"/>
        <w:spacing w:after="120"/>
        <w:ind w:left="360"/>
        <w:rPr>
          <w:rFonts w:ascii="Times New Roman" w:hAnsi="Times New Roman"/>
          <w:b/>
          <w:sz w:val="24"/>
          <w:szCs w:val="24"/>
        </w:rPr>
      </w:pPr>
    </w:p>
    <w:p w:rsidR="004A4578" w:rsidRPr="00A14771" w:rsidRDefault="006512B7" w:rsidP="00A14771">
      <w:pPr>
        <w:pStyle w:val="PargrafodaLista"/>
        <w:spacing w:after="120"/>
        <w:ind w:left="360"/>
        <w:rPr>
          <w:rFonts w:ascii="Courier New" w:hAnsi="Courier New" w:cs="Courier New"/>
          <w:sz w:val="21"/>
          <w:szCs w:val="21"/>
        </w:rPr>
      </w:pPr>
      <w:r w:rsidRPr="001271EE">
        <w:rPr>
          <w:rFonts w:ascii="Times New Roman" w:hAnsi="Times New Roman"/>
          <w:b/>
          <w:sz w:val="24"/>
          <w:szCs w:val="24"/>
        </w:rPr>
        <w:lastRenderedPageBreak/>
        <w:t>5.3 Principais periódicos</w:t>
      </w:r>
    </w:p>
    <w:p w:rsidR="004A4578" w:rsidRDefault="004A4578" w:rsidP="009643D6">
      <w:pPr>
        <w:pStyle w:val="PargrafodaLista"/>
        <w:spacing w:after="120"/>
        <w:ind w:left="360"/>
        <w:rPr>
          <w:rFonts w:ascii="Courier New" w:hAnsi="Courier New" w:cs="Courier New"/>
          <w:sz w:val="21"/>
          <w:szCs w:val="21"/>
        </w:rPr>
      </w:pPr>
    </w:p>
    <w:p w:rsidR="00FD3006" w:rsidRDefault="00FD3006" w:rsidP="00FD3006">
      <w:pPr>
        <w:pStyle w:val="PargrafodaLista"/>
        <w:keepNext/>
        <w:spacing w:after="120"/>
        <w:ind w:left="360"/>
      </w:pPr>
      <w:r>
        <w:rPr>
          <w:rFonts w:ascii="Courier New" w:hAnsi="Courier New" w:cs="Courier New"/>
          <w:noProof/>
          <w:sz w:val="21"/>
          <w:szCs w:val="21"/>
          <w:lang w:eastAsia="pt-BR"/>
        </w:rPr>
        <w:fldChar w:fldCharType="begin"/>
      </w:r>
      <w:r>
        <w:instrText xml:space="preserve"> REF _Ref501276990 </w:instrText>
      </w:r>
      <w:r>
        <w:rPr>
          <w:rFonts w:ascii="Courier New" w:hAnsi="Courier New" w:cs="Courier New"/>
          <w:noProof/>
          <w:sz w:val="21"/>
          <w:szCs w:val="21"/>
          <w:lang w:eastAsia="pt-BR"/>
        </w:rPr>
        <w:fldChar w:fldCharType="separate"/>
      </w:r>
      <w:r>
        <w:t xml:space="preserve">Figura </w:t>
      </w:r>
      <w:r>
        <w:rPr>
          <w:noProof/>
        </w:rPr>
        <w:t>4</w:t>
      </w:r>
      <w:r>
        <w:t>- Revistas com mais publicações</w:t>
      </w:r>
      <w:r>
        <w:rPr>
          <w:rFonts w:ascii="Courier New" w:hAnsi="Courier New" w:cs="Courier New"/>
          <w:noProof/>
          <w:sz w:val="21"/>
          <w:szCs w:val="21"/>
          <w:lang w:eastAsia="pt-BR"/>
        </w:rPr>
        <w:fldChar w:fldCharType="end"/>
      </w:r>
      <w:r w:rsidR="004A4578" w:rsidRPr="004A4578">
        <w:rPr>
          <w:rFonts w:ascii="Courier New" w:hAnsi="Courier New" w:cs="Courier New"/>
          <w:noProof/>
          <w:sz w:val="21"/>
          <w:szCs w:val="21"/>
          <w:lang w:eastAsia="pt-BR"/>
        </w:rPr>
        <w:drawing>
          <wp:inline distT="0" distB="0" distL="0" distR="0" wp14:anchorId="6DE99AC1" wp14:editId="35E2CF08">
            <wp:extent cx="6267450" cy="3276600"/>
            <wp:effectExtent l="0" t="0" r="0" b="0"/>
            <wp:docPr id="4" name="Imagem 4" descr="C:\Users\Vinicius\Pictures\Screenshots\Captura de Tel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icius\Pictures\Screenshots\Captura de Tela (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7064" r="2749" b="32340"/>
                    <a:stretch/>
                  </pic:blipFill>
                  <pic:spPr bwMode="auto">
                    <a:xfrm>
                      <a:off x="0" y="0"/>
                      <a:ext cx="6269841" cy="3277850"/>
                    </a:xfrm>
                    <a:prstGeom prst="rect">
                      <a:avLst/>
                    </a:prstGeom>
                    <a:noFill/>
                    <a:ln>
                      <a:noFill/>
                    </a:ln>
                    <a:extLst>
                      <a:ext uri="{53640926-AAD7-44D8-BBD7-CCE9431645EC}">
                        <a14:shadowObscured xmlns:a14="http://schemas.microsoft.com/office/drawing/2010/main"/>
                      </a:ext>
                    </a:extLst>
                  </pic:spPr>
                </pic:pic>
              </a:graphicData>
            </a:graphic>
          </wp:inline>
        </w:drawing>
      </w:r>
    </w:p>
    <w:p w:rsidR="00CE246E" w:rsidRDefault="00CE246E" w:rsidP="009643D6">
      <w:pPr>
        <w:pStyle w:val="PargrafodaLista"/>
        <w:spacing w:after="120"/>
        <w:ind w:left="360"/>
        <w:rPr>
          <w:rFonts w:ascii="Courier New" w:hAnsi="Courier New" w:cs="Courier New"/>
          <w:sz w:val="21"/>
          <w:szCs w:val="21"/>
        </w:rPr>
      </w:pPr>
    </w:p>
    <w:p w:rsidR="00961447" w:rsidRDefault="004A4578" w:rsidP="006512B7">
      <w:pPr>
        <w:pStyle w:val="PargrafodaLista"/>
        <w:spacing w:after="120"/>
        <w:ind w:left="360"/>
        <w:jc w:val="both"/>
        <w:rPr>
          <w:rFonts w:ascii="Times New Roman" w:hAnsi="Times New Roman"/>
          <w:sz w:val="24"/>
          <w:szCs w:val="24"/>
        </w:rPr>
      </w:pPr>
      <w:r>
        <w:rPr>
          <w:rFonts w:ascii="Times New Roman" w:hAnsi="Times New Roman"/>
          <w:sz w:val="24"/>
          <w:szCs w:val="24"/>
        </w:rPr>
        <w:t xml:space="preserve">      Já nesta tabela a</w:t>
      </w:r>
      <w:r w:rsidR="00961447">
        <w:rPr>
          <w:rFonts w:ascii="Times New Roman" w:hAnsi="Times New Roman"/>
          <w:sz w:val="24"/>
          <w:szCs w:val="24"/>
        </w:rPr>
        <w:t xml:space="preserve"> </w:t>
      </w:r>
      <w:r>
        <w:rPr>
          <w:rFonts w:ascii="Times New Roman" w:hAnsi="Times New Roman"/>
          <w:sz w:val="24"/>
          <w:szCs w:val="24"/>
        </w:rPr>
        <w:t>cima é possível notar os 10 jornais sobre o assunto os quais mais publicaram artigos sobre o tema em questão, nota-se que até mais ou menos a sétima revista, é bem di</w:t>
      </w:r>
      <w:r w:rsidR="00961447">
        <w:rPr>
          <w:rFonts w:ascii="Times New Roman" w:hAnsi="Times New Roman"/>
          <w:sz w:val="24"/>
          <w:szCs w:val="24"/>
        </w:rPr>
        <w:t>stribuída o número de artigos p</w:t>
      </w:r>
      <w:r>
        <w:rPr>
          <w:rFonts w:ascii="Times New Roman" w:hAnsi="Times New Roman"/>
          <w:sz w:val="24"/>
          <w:szCs w:val="24"/>
        </w:rPr>
        <w:t>ublicados, mostrando um certo equilíbrio, com a primeira revista distanciada apenas de 4 artigos da sétima revista</w:t>
      </w:r>
      <w:r w:rsidR="00961447">
        <w:rPr>
          <w:rFonts w:ascii="Times New Roman" w:hAnsi="Times New Roman"/>
          <w:sz w:val="24"/>
          <w:szCs w:val="24"/>
        </w:rPr>
        <w:t>.</w:t>
      </w:r>
    </w:p>
    <w:p w:rsidR="006512B7" w:rsidRPr="006512B7" w:rsidRDefault="006512B7" w:rsidP="006512B7">
      <w:pPr>
        <w:pStyle w:val="PargrafodaLista"/>
        <w:spacing w:after="120"/>
        <w:ind w:left="360"/>
        <w:jc w:val="both"/>
        <w:rPr>
          <w:rFonts w:ascii="Times New Roman" w:hAnsi="Times New Roman"/>
          <w:sz w:val="24"/>
          <w:szCs w:val="24"/>
        </w:rPr>
      </w:pPr>
    </w:p>
    <w:p w:rsidR="00F81E6F" w:rsidRPr="006512B7" w:rsidRDefault="00961447" w:rsidP="006512B7">
      <w:pPr>
        <w:pStyle w:val="PargrafodaLista"/>
        <w:spacing w:after="120"/>
        <w:ind w:left="360"/>
        <w:jc w:val="both"/>
        <w:rPr>
          <w:rFonts w:ascii="Times New Roman" w:hAnsi="Times New Roman"/>
          <w:sz w:val="24"/>
          <w:szCs w:val="24"/>
        </w:rPr>
      </w:pPr>
      <w:r>
        <w:rPr>
          <w:rFonts w:ascii="Times New Roman" w:hAnsi="Times New Roman"/>
          <w:sz w:val="24"/>
          <w:szCs w:val="24"/>
        </w:rPr>
        <w:t xml:space="preserve">      Já nesta outra tabela abaixo há o top 10 das revista com mais citações, percebe-se nela também, que pelo o tema ser novo, talvez ainda não haja questões para serem citadas pois novas coisas estão surgindo, nesse caso uma revista apenas teve citação, a ACCOUNTING ORGANIZATIONS AND SOCIETY.</w:t>
      </w:r>
    </w:p>
    <w:p w:rsidR="002965EF" w:rsidRDefault="002965EF" w:rsidP="00F81E6F">
      <w:pPr>
        <w:pStyle w:val="PargrafodaLista"/>
        <w:spacing w:after="120"/>
        <w:ind w:left="360"/>
        <w:rPr>
          <w:rFonts w:ascii="Times New Roman" w:hAnsi="Times New Roman"/>
          <w:b/>
          <w:sz w:val="24"/>
          <w:szCs w:val="24"/>
        </w:rPr>
      </w:pPr>
    </w:p>
    <w:p w:rsidR="002965EF" w:rsidRDefault="002965EF" w:rsidP="00F81E6F">
      <w:pPr>
        <w:pStyle w:val="PargrafodaLista"/>
        <w:spacing w:after="120"/>
        <w:ind w:left="360"/>
        <w:rPr>
          <w:rFonts w:ascii="Times New Roman" w:hAnsi="Times New Roman"/>
          <w:b/>
          <w:sz w:val="24"/>
          <w:szCs w:val="24"/>
        </w:rPr>
      </w:pPr>
    </w:p>
    <w:p w:rsidR="00FD3006" w:rsidRDefault="00FD3006" w:rsidP="00FD3006">
      <w:pPr>
        <w:pStyle w:val="PargrafodaLista"/>
        <w:keepNext/>
        <w:spacing w:after="120"/>
        <w:ind w:left="360"/>
      </w:pPr>
      <w:r>
        <w:rPr>
          <w:rFonts w:ascii="Times New Roman" w:hAnsi="Times New Roman"/>
          <w:b/>
          <w:noProof/>
          <w:sz w:val="24"/>
          <w:szCs w:val="24"/>
          <w:lang w:eastAsia="pt-BR"/>
        </w:rPr>
        <w:fldChar w:fldCharType="begin"/>
      </w:r>
      <w:r>
        <w:instrText xml:space="preserve"> REF _Ref501277055 </w:instrText>
      </w:r>
      <w:r>
        <w:rPr>
          <w:rFonts w:ascii="Times New Roman" w:hAnsi="Times New Roman"/>
          <w:b/>
          <w:noProof/>
          <w:sz w:val="24"/>
          <w:szCs w:val="24"/>
          <w:lang w:eastAsia="pt-BR"/>
        </w:rPr>
        <w:fldChar w:fldCharType="separate"/>
      </w:r>
      <w:r>
        <w:t xml:space="preserve">Figura </w:t>
      </w:r>
      <w:r>
        <w:rPr>
          <w:noProof/>
        </w:rPr>
        <w:t>5</w:t>
      </w:r>
      <w:r>
        <w:t>- Revistas com mais citações</w:t>
      </w:r>
      <w:r>
        <w:rPr>
          <w:rFonts w:ascii="Times New Roman" w:hAnsi="Times New Roman"/>
          <w:b/>
          <w:noProof/>
          <w:sz w:val="24"/>
          <w:szCs w:val="24"/>
          <w:lang w:eastAsia="pt-BR"/>
        </w:rPr>
        <w:fldChar w:fldCharType="end"/>
      </w:r>
      <w:r w:rsidR="004438E1" w:rsidRPr="004A4578">
        <w:rPr>
          <w:rFonts w:ascii="Times New Roman" w:hAnsi="Times New Roman"/>
          <w:b/>
          <w:noProof/>
          <w:sz w:val="24"/>
          <w:szCs w:val="24"/>
          <w:lang w:eastAsia="pt-BR"/>
        </w:rPr>
        <w:drawing>
          <wp:inline distT="0" distB="0" distL="0" distR="0" wp14:anchorId="3EA4030C" wp14:editId="3515B1A9">
            <wp:extent cx="6057900" cy="2219325"/>
            <wp:effectExtent l="0" t="0" r="0" b="9525"/>
            <wp:docPr id="5" name="Imagem 5" descr="C:\Users\Vinicius\Pictures\Screenshots\Captura de Tel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icius\Pictures\Screenshots\Captura de Tela (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006" r="1922" b="32633"/>
                    <a:stretch/>
                  </pic:blipFill>
                  <pic:spPr bwMode="auto">
                    <a:xfrm>
                      <a:off x="0" y="0"/>
                      <a:ext cx="6060870" cy="2220413"/>
                    </a:xfrm>
                    <a:prstGeom prst="rect">
                      <a:avLst/>
                    </a:prstGeom>
                    <a:noFill/>
                    <a:ln>
                      <a:noFill/>
                    </a:ln>
                    <a:extLst>
                      <a:ext uri="{53640926-AAD7-44D8-BBD7-CCE9431645EC}">
                        <a14:shadowObscured xmlns:a14="http://schemas.microsoft.com/office/drawing/2010/main"/>
                      </a:ext>
                    </a:extLst>
                  </pic:spPr>
                </pic:pic>
              </a:graphicData>
            </a:graphic>
          </wp:inline>
        </w:drawing>
      </w:r>
    </w:p>
    <w:p w:rsidR="004438E1" w:rsidRDefault="004438E1" w:rsidP="00F81E6F">
      <w:pPr>
        <w:pStyle w:val="PargrafodaLista"/>
        <w:spacing w:after="120"/>
        <w:ind w:left="360"/>
        <w:rPr>
          <w:rFonts w:ascii="Times New Roman" w:hAnsi="Times New Roman"/>
          <w:b/>
          <w:sz w:val="24"/>
          <w:szCs w:val="24"/>
        </w:rPr>
      </w:pPr>
    </w:p>
    <w:p w:rsidR="004438E1" w:rsidRPr="004438E1" w:rsidRDefault="00D34A63" w:rsidP="004438E1">
      <w:pPr>
        <w:spacing w:after="120"/>
        <w:rPr>
          <w:rFonts w:ascii="Times New Roman" w:hAnsi="Times New Roman"/>
          <w:sz w:val="24"/>
          <w:szCs w:val="24"/>
        </w:rPr>
      </w:pPr>
      <w:r>
        <w:rPr>
          <w:rFonts w:ascii="Times New Roman" w:hAnsi="Times New Roman"/>
          <w:sz w:val="24"/>
          <w:szCs w:val="24"/>
        </w:rPr>
        <w:lastRenderedPageBreak/>
        <w:t xml:space="preserve">      </w:t>
      </w:r>
      <w:r w:rsidR="004438E1">
        <w:rPr>
          <w:rFonts w:ascii="Times New Roman" w:hAnsi="Times New Roman"/>
          <w:sz w:val="24"/>
          <w:szCs w:val="24"/>
        </w:rPr>
        <w:t>No gráfico abaixo podemos ver como é distribuído</w:t>
      </w:r>
      <w:r>
        <w:rPr>
          <w:rFonts w:ascii="Times New Roman" w:hAnsi="Times New Roman"/>
          <w:sz w:val="24"/>
          <w:szCs w:val="24"/>
        </w:rPr>
        <w:t xml:space="preserve"> por ano as citações e publicações sobre o tema, o qual não é muito bem distribuído</w:t>
      </w:r>
    </w:p>
    <w:p w:rsidR="00FD3006" w:rsidRDefault="00FD3006" w:rsidP="00FD3006">
      <w:pPr>
        <w:pStyle w:val="PargrafodaLista"/>
        <w:keepNext/>
        <w:spacing w:after="120"/>
        <w:ind w:left="360"/>
      </w:pPr>
      <w:r>
        <w:rPr>
          <w:rFonts w:ascii="Times New Roman" w:hAnsi="Times New Roman"/>
          <w:b/>
          <w:noProof/>
          <w:sz w:val="24"/>
          <w:szCs w:val="24"/>
          <w:lang w:eastAsia="pt-BR"/>
        </w:rPr>
        <w:fldChar w:fldCharType="begin"/>
      </w:r>
      <w:r>
        <w:instrText xml:space="preserve"> REF _Ref501277145 </w:instrText>
      </w:r>
      <w:r>
        <w:rPr>
          <w:rFonts w:ascii="Times New Roman" w:hAnsi="Times New Roman"/>
          <w:b/>
          <w:noProof/>
          <w:sz w:val="24"/>
          <w:szCs w:val="24"/>
          <w:lang w:eastAsia="pt-BR"/>
        </w:rPr>
        <w:fldChar w:fldCharType="separate"/>
      </w:r>
      <w:r>
        <w:t xml:space="preserve">Figura </w:t>
      </w:r>
      <w:r>
        <w:rPr>
          <w:noProof/>
        </w:rPr>
        <w:t>6</w:t>
      </w:r>
      <w:r>
        <w:t>-Distribuição citações por ano</w:t>
      </w:r>
      <w:r>
        <w:rPr>
          <w:rFonts w:ascii="Times New Roman" w:hAnsi="Times New Roman"/>
          <w:b/>
          <w:noProof/>
          <w:sz w:val="24"/>
          <w:szCs w:val="24"/>
          <w:lang w:eastAsia="pt-BR"/>
        </w:rPr>
        <w:fldChar w:fldCharType="end"/>
      </w:r>
      <w:r w:rsidR="002965EF" w:rsidRPr="002965EF">
        <w:rPr>
          <w:rFonts w:ascii="Times New Roman" w:hAnsi="Times New Roman"/>
          <w:b/>
          <w:noProof/>
          <w:sz w:val="24"/>
          <w:szCs w:val="24"/>
          <w:lang w:eastAsia="pt-BR"/>
        </w:rPr>
        <w:drawing>
          <wp:inline distT="0" distB="0" distL="0" distR="0" wp14:anchorId="0244234C" wp14:editId="0B0AC938">
            <wp:extent cx="6409055" cy="4819650"/>
            <wp:effectExtent l="0" t="0" r="0" b="0"/>
            <wp:docPr id="6" name="Imagem 6" descr="C:\Users\Vinicius\Pictures\Screenshots\Captura de Tel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icius\Pictures\Screenshots\Captura de Tela (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04" t="11566"/>
                    <a:stretch/>
                  </pic:blipFill>
                  <pic:spPr bwMode="auto">
                    <a:xfrm>
                      <a:off x="0" y="0"/>
                      <a:ext cx="6461197" cy="4858861"/>
                    </a:xfrm>
                    <a:prstGeom prst="rect">
                      <a:avLst/>
                    </a:prstGeom>
                    <a:noFill/>
                    <a:ln>
                      <a:noFill/>
                    </a:ln>
                    <a:extLst>
                      <a:ext uri="{53640926-AAD7-44D8-BBD7-CCE9431645EC}">
                        <a14:shadowObscured xmlns:a14="http://schemas.microsoft.com/office/drawing/2010/main"/>
                      </a:ext>
                    </a:extLst>
                  </pic:spPr>
                </pic:pic>
              </a:graphicData>
            </a:graphic>
          </wp:inline>
        </w:drawing>
      </w:r>
    </w:p>
    <w:p w:rsidR="00FD3006" w:rsidRDefault="00FD3006"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A14771" w:rsidRDefault="00A14771" w:rsidP="006512B7">
      <w:pPr>
        <w:spacing w:after="120"/>
        <w:jc w:val="both"/>
        <w:rPr>
          <w:rFonts w:ascii="Times New Roman" w:hAnsi="Times New Roman"/>
          <w:b/>
          <w:sz w:val="24"/>
          <w:szCs w:val="24"/>
        </w:rPr>
      </w:pPr>
    </w:p>
    <w:p w:rsidR="006512B7" w:rsidRPr="00717111" w:rsidRDefault="006512B7" w:rsidP="00717111">
      <w:pPr>
        <w:spacing w:after="120"/>
        <w:rPr>
          <w:rFonts w:ascii="Times New Roman" w:hAnsi="Times New Roman"/>
          <w:b/>
          <w:sz w:val="24"/>
          <w:szCs w:val="24"/>
        </w:rPr>
      </w:pPr>
    </w:p>
    <w:p w:rsidR="006512B7" w:rsidRDefault="006512B7" w:rsidP="00F81E6F">
      <w:pPr>
        <w:pStyle w:val="PargrafodaLista"/>
        <w:spacing w:after="120"/>
        <w:ind w:left="360"/>
        <w:rPr>
          <w:rFonts w:ascii="Times New Roman" w:hAnsi="Times New Roman"/>
          <w:b/>
          <w:sz w:val="24"/>
          <w:szCs w:val="24"/>
        </w:rPr>
      </w:pPr>
    </w:p>
    <w:p w:rsidR="00717111" w:rsidRDefault="00717111" w:rsidP="00717111">
      <w:pPr>
        <w:pStyle w:val="PargrafodaLista"/>
        <w:keepNext/>
        <w:spacing w:after="120"/>
        <w:ind w:left="360"/>
      </w:pPr>
      <w:r>
        <w:rPr>
          <w:rFonts w:ascii="Times New Roman" w:hAnsi="Times New Roman"/>
          <w:b/>
          <w:noProof/>
          <w:sz w:val="24"/>
          <w:szCs w:val="24"/>
          <w:lang w:eastAsia="pt-BR"/>
        </w:rPr>
        <w:lastRenderedPageBreak/>
        <w:fldChar w:fldCharType="begin"/>
      </w:r>
      <w:r>
        <w:instrText xml:space="preserve"> REF _Ref501279588 \h </w:instrText>
      </w:r>
      <w:r>
        <w:rPr>
          <w:rFonts w:ascii="Times New Roman" w:hAnsi="Times New Roman"/>
          <w:b/>
          <w:noProof/>
          <w:sz w:val="24"/>
          <w:szCs w:val="24"/>
          <w:lang w:eastAsia="pt-BR"/>
        </w:rPr>
      </w:r>
      <w:r>
        <w:rPr>
          <w:rFonts w:ascii="Times New Roman" w:hAnsi="Times New Roman"/>
          <w:b/>
          <w:noProof/>
          <w:sz w:val="24"/>
          <w:szCs w:val="24"/>
          <w:lang w:eastAsia="pt-BR"/>
        </w:rPr>
        <w:fldChar w:fldCharType="separate"/>
      </w:r>
      <w:r>
        <w:t xml:space="preserve">Figura </w:t>
      </w:r>
      <w:r>
        <w:rPr>
          <w:noProof/>
        </w:rPr>
        <w:t>7</w:t>
      </w:r>
      <w:r>
        <w:t>- Número de publicações por ano sobre o tema</w:t>
      </w:r>
      <w:r>
        <w:rPr>
          <w:rFonts w:ascii="Times New Roman" w:hAnsi="Times New Roman"/>
          <w:b/>
          <w:noProof/>
          <w:sz w:val="24"/>
          <w:szCs w:val="24"/>
          <w:lang w:eastAsia="pt-BR"/>
        </w:rPr>
        <w:fldChar w:fldCharType="end"/>
      </w:r>
      <w:r w:rsidR="004438E1" w:rsidRPr="004438E1">
        <w:rPr>
          <w:rFonts w:ascii="Times New Roman" w:hAnsi="Times New Roman"/>
          <w:b/>
          <w:noProof/>
          <w:sz w:val="24"/>
          <w:szCs w:val="24"/>
          <w:lang w:eastAsia="pt-BR"/>
        </w:rPr>
        <w:drawing>
          <wp:inline distT="0" distB="0" distL="0" distR="0">
            <wp:extent cx="4695825" cy="3457575"/>
            <wp:effectExtent l="0" t="0" r="9525" b="9525"/>
            <wp:docPr id="7" name="Imagem 7" descr="C:\Users\Vinicius\Pictures\Screenshots\Captura de Tel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icius\Pictures\Screenshots\Captura de Tela (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0002" r="64440"/>
                    <a:stretch/>
                  </pic:blipFill>
                  <pic:spPr bwMode="auto">
                    <a:xfrm>
                      <a:off x="0" y="0"/>
                      <a:ext cx="4696192" cy="3457845"/>
                    </a:xfrm>
                    <a:prstGeom prst="rect">
                      <a:avLst/>
                    </a:prstGeom>
                    <a:noFill/>
                    <a:ln>
                      <a:noFill/>
                    </a:ln>
                    <a:extLst>
                      <a:ext uri="{53640926-AAD7-44D8-BBD7-CCE9431645EC}">
                        <a14:shadowObscured xmlns:a14="http://schemas.microsoft.com/office/drawing/2010/main"/>
                      </a:ext>
                    </a:extLst>
                  </pic:spPr>
                </pic:pic>
              </a:graphicData>
            </a:graphic>
          </wp:inline>
        </w:drawing>
      </w:r>
    </w:p>
    <w:p w:rsidR="00717111" w:rsidRDefault="00717111" w:rsidP="00717111">
      <w:pPr>
        <w:pStyle w:val="Legenda"/>
      </w:pPr>
    </w:p>
    <w:p w:rsidR="002965EF" w:rsidRPr="00856EF1" w:rsidRDefault="002965EF" w:rsidP="00717111">
      <w:pPr>
        <w:pStyle w:val="Legenda"/>
        <w:rPr>
          <w:rFonts w:ascii="Times New Roman" w:hAnsi="Times New Roman"/>
          <w:b/>
          <w:sz w:val="24"/>
          <w:szCs w:val="24"/>
        </w:rPr>
      </w:pPr>
    </w:p>
    <w:p w:rsidR="004438E1" w:rsidRPr="004438E1" w:rsidRDefault="00D34A63" w:rsidP="002E26BA">
      <w:pPr>
        <w:spacing w:after="120"/>
        <w:jc w:val="both"/>
        <w:rPr>
          <w:rFonts w:ascii="Times New Roman" w:hAnsi="Times New Roman"/>
          <w:sz w:val="24"/>
          <w:szCs w:val="24"/>
        </w:rPr>
      </w:pPr>
      <w:r>
        <w:rPr>
          <w:rFonts w:ascii="Times New Roman" w:hAnsi="Times New Roman"/>
          <w:sz w:val="24"/>
          <w:szCs w:val="24"/>
        </w:rPr>
        <w:t xml:space="preserve">     </w:t>
      </w:r>
      <w:r w:rsidR="004438E1">
        <w:rPr>
          <w:rFonts w:ascii="Times New Roman" w:hAnsi="Times New Roman"/>
          <w:sz w:val="24"/>
          <w:szCs w:val="24"/>
        </w:rPr>
        <w:t>Na tabela a cima podemos ver o número de publicações por ano</w:t>
      </w:r>
      <w:r>
        <w:rPr>
          <w:rFonts w:ascii="Times New Roman" w:hAnsi="Times New Roman"/>
          <w:sz w:val="24"/>
          <w:szCs w:val="24"/>
        </w:rPr>
        <w:t>, com ela podemos ver que os artigos começaram a ser desenvolvidos em 1992 e teve seu grande “boom” a partir de 2014 e a partir de então só vem crescendo, tendo uma leve queda em 2017.</w:t>
      </w:r>
    </w:p>
    <w:p w:rsidR="00277541" w:rsidRPr="00AE3C06" w:rsidRDefault="00277541" w:rsidP="006512B7">
      <w:pPr>
        <w:spacing w:after="120"/>
        <w:jc w:val="both"/>
        <w:rPr>
          <w:rFonts w:ascii="Times New Roman" w:hAnsi="Times New Roman"/>
          <w:strike/>
          <w:sz w:val="24"/>
          <w:szCs w:val="24"/>
        </w:rPr>
      </w:pPr>
      <w:r w:rsidRPr="001271EE">
        <w:rPr>
          <w:rFonts w:ascii="Times New Roman" w:hAnsi="Times New Roman"/>
          <w:sz w:val="24"/>
          <w:szCs w:val="24"/>
        </w:rPr>
        <w:tab/>
      </w:r>
    </w:p>
    <w:p w:rsidR="00385F3F" w:rsidRDefault="00385F3F" w:rsidP="00385F3F">
      <w:pPr>
        <w:spacing w:after="120"/>
        <w:ind w:left="360"/>
        <w:jc w:val="both"/>
        <w:rPr>
          <w:rFonts w:ascii="Times New Roman" w:hAnsi="Times New Roman"/>
          <w:b/>
          <w:sz w:val="24"/>
          <w:szCs w:val="24"/>
        </w:rPr>
      </w:pPr>
    </w:p>
    <w:p w:rsidR="009C54D9" w:rsidRDefault="009C54D9" w:rsidP="00385F3F">
      <w:pPr>
        <w:pStyle w:val="PargrafodaLista"/>
        <w:numPr>
          <w:ilvl w:val="0"/>
          <w:numId w:val="8"/>
        </w:numPr>
        <w:spacing w:after="120"/>
        <w:jc w:val="both"/>
        <w:rPr>
          <w:rFonts w:ascii="Times New Roman" w:hAnsi="Times New Roman"/>
          <w:b/>
          <w:sz w:val="24"/>
          <w:szCs w:val="24"/>
        </w:rPr>
      </w:pPr>
      <w:proofErr w:type="spellStart"/>
      <w:r w:rsidRPr="00385F3F">
        <w:rPr>
          <w:rFonts w:ascii="Times New Roman" w:hAnsi="Times New Roman"/>
          <w:b/>
          <w:sz w:val="24"/>
          <w:szCs w:val="24"/>
        </w:rPr>
        <w:t>Consideracões</w:t>
      </w:r>
      <w:proofErr w:type="spellEnd"/>
      <w:r w:rsidRPr="00385F3F">
        <w:rPr>
          <w:rFonts w:ascii="Times New Roman" w:hAnsi="Times New Roman"/>
          <w:b/>
          <w:sz w:val="24"/>
          <w:szCs w:val="24"/>
        </w:rPr>
        <w:t xml:space="preserve"> finais</w:t>
      </w:r>
    </w:p>
    <w:p w:rsidR="009220EA" w:rsidRDefault="009220EA" w:rsidP="009220EA">
      <w:pPr>
        <w:pStyle w:val="PargrafodaLista"/>
        <w:spacing w:after="120"/>
        <w:ind w:left="360"/>
        <w:jc w:val="both"/>
        <w:rPr>
          <w:rFonts w:ascii="Times New Roman" w:hAnsi="Times New Roman"/>
          <w:b/>
          <w:sz w:val="24"/>
          <w:szCs w:val="24"/>
        </w:rPr>
      </w:pPr>
    </w:p>
    <w:p w:rsidR="009220EA" w:rsidRPr="009220EA" w:rsidRDefault="009220EA" w:rsidP="009220EA">
      <w:pPr>
        <w:spacing w:after="120"/>
        <w:jc w:val="both"/>
        <w:rPr>
          <w:rFonts w:ascii="Times New Roman" w:hAnsi="Times New Roman"/>
          <w:sz w:val="24"/>
          <w:szCs w:val="24"/>
        </w:rPr>
      </w:pPr>
      <w:r>
        <w:rPr>
          <w:rFonts w:ascii="Times New Roman" w:hAnsi="Times New Roman"/>
          <w:sz w:val="24"/>
          <w:szCs w:val="24"/>
        </w:rPr>
        <w:t xml:space="preserve">     Concluo este artigo com a ideia reforçada de que a divulgação dos relatórios contábeis é algo extremamente importante, ainda mais quando este segue normas de divulgação como por exemplo os da IFRS, podendo manter assim, com outras empresas e ou países um certo padrão de leitura e maior facilidade de conversão, diminuindo as taxas de erros e ou tomadas de decisão precipitadas que possam prejudicar a empresa e ou país em questão.</w:t>
      </w:r>
    </w:p>
    <w:p w:rsidR="009C54D9" w:rsidRDefault="009C54D9" w:rsidP="009C54D9">
      <w:pPr>
        <w:spacing w:after="120"/>
        <w:ind w:left="1440"/>
        <w:jc w:val="both"/>
        <w:rPr>
          <w:rFonts w:ascii="Times New Roman" w:hAnsi="Times New Roman"/>
          <w:b/>
          <w:sz w:val="24"/>
          <w:szCs w:val="24"/>
        </w:rPr>
      </w:pPr>
    </w:p>
    <w:p w:rsidR="00385F3F" w:rsidRDefault="00385F3F" w:rsidP="009C54D9">
      <w:pPr>
        <w:spacing w:after="120"/>
        <w:ind w:left="1440"/>
        <w:jc w:val="both"/>
        <w:rPr>
          <w:rFonts w:ascii="Times New Roman" w:hAnsi="Times New Roman"/>
          <w:b/>
          <w:sz w:val="24"/>
          <w:szCs w:val="24"/>
        </w:rPr>
      </w:pPr>
    </w:p>
    <w:p w:rsidR="00385F3F" w:rsidRDefault="00385F3F" w:rsidP="009220EA">
      <w:pPr>
        <w:spacing w:after="120"/>
        <w:jc w:val="both"/>
        <w:rPr>
          <w:rFonts w:ascii="Times New Roman" w:hAnsi="Times New Roman"/>
          <w:b/>
          <w:sz w:val="24"/>
          <w:szCs w:val="24"/>
        </w:rPr>
      </w:pPr>
    </w:p>
    <w:p w:rsidR="009220EA" w:rsidRDefault="009220EA" w:rsidP="009220EA">
      <w:pPr>
        <w:spacing w:after="120"/>
        <w:jc w:val="both"/>
        <w:rPr>
          <w:rFonts w:ascii="Times New Roman" w:hAnsi="Times New Roman"/>
          <w:b/>
          <w:sz w:val="24"/>
          <w:szCs w:val="24"/>
        </w:rPr>
      </w:pPr>
    </w:p>
    <w:p w:rsidR="00385F3F" w:rsidRDefault="00385F3F" w:rsidP="009C54D9">
      <w:pPr>
        <w:spacing w:after="120"/>
        <w:ind w:left="1440"/>
        <w:jc w:val="both"/>
        <w:rPr>
          <w:rFonts w:ascii="Times New Roman" w:hAnsi="Times New Roman"/>
          <w:b/>
          <w:sz w:val="24"/>
          <w:szCs w:val="24"/>
        </w:rPr>
      </w:pPr>
    </w:p>
    <w:p w:rsidR="00385F3F" w:rsidRDefault="00385F3F" w:rsidP="009C54D9">
      <w:pPr>
        <w:spacing w:after="120"/>
        <w:ind w:left="1440"/>
        <w:jc w:val="both"/>
        <w:rPr>
          <w:rFonts w:ascii="Times New Roman" w:hAnsi="Times New Roman"/>
          <w:b/>
          <w:sz w:val="24"/>
          <w:szCs w:val="24"/>
        </w:rPr>
      </w:pPr>
    </w:p>
    <w:p w:rsidR="009C54D9" w:rsidRDefault="009C54D9" w:rsidP="008C5D1F">
      <w:pPr>
        <w:tabs>
          <w:tab w:val="center" w:pos="4535"/>
        </w:tabs>
        <w:spacing w:after="120"/>
        <w:jc w:val="both"/>
        <w:rPr>
          <w:rFonts w:ascii="Times New Roman" w:hAnsi="Times New Roman"/>
          <w:b/>
          <w:sz w:val="24"/>
          <w:szCs w:val="24"/>
        </w:rPr>
      </w:pPr>
      <w:r>
        <w:rPr>
          <w:rFonts w:ascii="Times New Roman" w:hAnsi="Times New Roman"/>
          <w:b/>
          <w:sz w:val="24"/>
          <w:szCs w:val="24"/>
        </w:rPr>
        <w:lastRenderedPageBreak/>
        <w:t>Referencial bibliográfico</w:t>
      </w:r>
      <w:r w:rsidR="008C5D1F">
        <w:rPr>
          <w:rFonts w:ascii="Times New Roman" w:hAnsi="Times New Roman"/>
          <w:b/>
          <w:sz w:val="24"/>
          <w:szCs w:val="24"/>
        </w:rPr>
        <w:tab/>
      </w:r>
    </w:p>
    <w:p w:rsidR="00BF34F1" w:rsidRPr="00BF34F1" w:rsidRDefault="00762C89" w:rsidP="00BF34F1">
      <w:pPr>
        <w:widowControl w:val="0"/>
        <w:autoSpaceDE w:val="0"/>
        <w:autoSpaceDN w:val="0"/>
        <w:adjustRightInd w:val="0"/>
        <w:spacing w:after="140" w:line="240" w:lineRule="auto"/>
        <w:ind w:left="480" w:hanging="480"/>
        <w:rPr>
          <w:rFonts w:ascii="Times New Roman" w:hAnsi="Times New Roman"/>
          <w:noProof/>
          <w:sz w:val="24"/>
          <w:szCs w:val="24"/>
        </w:rPr>
      </w:pPr>
      <w:r>
        <w:rPr>
          <w:rFonts w:ascii="Times New Roman" w:hAnsi="Times New Roman"/>
          <w:b/>
          <w:sz w:val="24"/>
          <w:szCs w:val="24"/>
        </w:rPr>
        <w:fldChar w:fldCharType="begin" w:fldLock="1"/>
      </w:r>
      <w:r w:rsidRPr="00A07CD1">
        <w:rPr>
          <w:rFonts w:ascii="Times New Roman" w:hAnsi="Times New Roman"/>
          <w:b/>
          <w:sz w:val="24"/>
          <w:szCs w:val="24"/>
          <w:lang w:val="en-US"/>
        </w:rPr>
        <w:instrText xml:space="preserve">ADDIN Mendeley Bibliography CSL_BIBLIOGRAPHY </w:instrText>
      </w:r>
      <w:r>
        <w:rPr>
          <w:rFonts w:ascii="Times New Roman" w:hAnsi="Times New Roman"/>
          <w:b/>
          <w:sz w:val="24"/>
          <w:szCs w:val="24"/>
        </w:rPr>
        <w:fldChar w:fldCharType="separate"/>
      </w:r>
      <w:r w:rsidR="00BF34F1" w:rsidRPr="00BF34F1">
        <w:rPr>
          <w:rFonts w:ascii="Times New Roman" w:hAnsi="Times New Roman"/>
          <w:noProof/>
          <w:sz w:val="24"/>
          <w:szCs w:val="24"/>
        </w:rPr>
        <w:t xml:space="preserve">Andre, P., Filip, A., &amp; Marmousez, S. (2014). The impact of IFRS on the relationship between conservatism and investment efficiency. </w:t>
      </w:r>
      <w:r w:rsidR="00BF34F1" w:rsidRPr="00BF34F1">
        <w:rPr>
          <w:rFonts w:ascii="Times New Roman" w:hAnsi="Times New Roman"/>
          <w:i/>
          <w:iCs/>
          <w:noProof/>
          <w:sz w:val="24"/>
          <w:szCs w:val="24"/>
        </w:rPr>
        <w:t>COMPTABILITE CONTROLE AUDIT</w:t>
      </w:r>
      <w:r w:rsidR="00BF34F1" w:rsidRPr="00BF34F1">
        <w:rPr>
          <w:rFonts w:ascii="Times New Roman" w:hAnsi="Times New Roman"/>
          <w:noProof/>
          <w:sz w:val="24"/>
          <w:szCs w:val="24"/>
        </w:rPr>
        <w:t xml:space="preserve">, </w:t>
      </w:r>
      <w:r w:rsidR="00BF34F1" w:rsidRPr="00BF34F1">
        <w:rPr>
          <w:rFonts w:ascii="Times New Roman" w:hAnsi="Times New Roman"/>
          <w:i/>
          <w:iCs/>
          <w:noProof/>
          <w:sz w:val="24"/>
          <w:szCs w:val="24"/>
        </w:rPr>
        <w:t>20</w:t>
      </w:r>
      <w:r w:rsidR="00BF34F1" w:rsidRPr="00BF34F1">
        <w:rPr>
          <w:rFonts w:ascii="Times New Roman" w:hAnsi="Times New Roman"/>
          <w:noProof/>
          <w:sz w:val="24"/>
          <w:szCs w:val="24"/>
        </w:rPr>
        <w:t>(3), 101–124. https://doi.org/10.3917/cca.203.0101</w:t>
      </w:r>
    </w:p>
    <w:p w:rsidR="00BF34F1" w:rsidRPr="00BF34F1" w:rsidRDefault="00BF34F1" w:rsidP="00BF34F1">
      <w:pPr>
        <w:widowControl w:val="0"/>
        <w:autoSpaceDE w:val="0"/>
        <w:autoSpaceDN w:val="0"/>
        <w:adjustRightInd w:val="0"/>
        <w:spacing w:after="140" w:line="240" w:lineRule="auto"/>
        <w:ind w:left="480" w:hanging="480"/>
        <w:rPr>
          <w:rFonts w:ascii="Times New Roman" w:hAnsi="Times New Roman"/>
          <w:noProof/>
          <w:sz w:val="24"/>
          <w:szCs w:val="24"/>
        </w:rPr>
      </w:pPr>
      <w:r w:rsidRPr="00BF34F1">
        <w:rPr>
          <w:rFonts w:ascii="Times New Roman" w:hAnsi="Times New Roman"/>
          <w:noProof/>
          <w:sz w:val="24"/>
          <w:szCs w:val="24"/>
        </w:rPr>
        <w:t xml:space="preserve">Dayanandan, A., Donker, H., Ivanof, M., &amp; Karahan, G. (2016). IFRS and accounting quality: legal origin, regional, and disclosure impacts. </w:t>
      </w:r>
      <w:r w:rsidRPr="00BF34F1">
        <w:rPr>
          <w:rFonts w:ascii="Times New Roman" w:hAnsi="Times New Roman"/>
          <w:i/>
          <w:iCs/>
          <w:noProof/>
          <w:sz w:val="24"/>
          <w:szCs w:val="24"/>
        </w:rPr>
        <w:t>INTERNATIONAL JOURNAL OF ACCOUNTING AND INFORMATION MANAGEMENT</w:t>
      </w:r>
      <w:r w:rsidRPr="00BF34F1">
        <w:rPr>
          <w:rFonts w:ascii="Times New Roman" w:hAnsi="Times New Roman"/>
          <w:noProof/>
          <w:sz w:val="24"/>
          <w:szCs w:val="24"/>
        </w:rPr>
        <w:t xml:space="preserve">, </w:t>
      </w:r>
      <w:r w:rsidRPr="00BF34F1">
        <w:rPr>
          <w:rFonts w:ascii="Times New Roman" w:hAnsi="Times New Roman"/>
          <w:i/>
          <w:iCs/>
          <w:noProof/>
          <w:sz w:val="24"/>
          <w:szCs w:val="24"/>
        </w:rPr>
        <w:t>24</w:t>
      </w:r>
      <w:r w:rsidRPr="00BF34F1">
        <w:rPr>
          <w:rFonts w:ascii="Times New Roman" w:hAnsi="Times New Roman"/>
          <w:noProof/>
          <w:sz w:val="24"/>
          <w:szCs w:val="24"/>
        </w:rPr>
        <w:t>(3), 296–316. https://doi.org/10.1108/IJAIM-11-2015-0075</w:t>
      </w:r>
    </w:p>
    <w:p w:rsidR="00BF34F1" w:rsidRPr="00BF34F1" w:rsidRDefault="00BF34F1" w:rsidP="00BF34F1">
      <w:pPr>
        <w:widowControl w:val="0"/>
        <w:autoSpaceDE w:val="0"/>
        <w:autoSpaceDN w:val="0"/>
        <w:adjustRightInd w:val="0"/>
        <w:spacing w:after="140" w:line="240" w:lineRule="auto"/>
        <w:ind w:left="480" w:hanging="480"/>
        <w:rPr>
          <w:rFonts w:ascii="Times New Roman" w:hAnsi="Times New Roman"/>
          <w:noProof/>
          <w:sz w:val="24"/>
          <w:szCs w:val="24"/>
        </w:rPr>
      </w:pPr>
      <w:r w:rsidRPr="00BF34F1">
        <w:rPr>
          <w:rFonts w:ascii="Times New Roman" w:hAnsi="Times New Roman"/>
          <w:noProof/>
          <w:sz w:val="24"/>
          <w:szCs w:val="24"/>
        </w:rPr>
        <w:t xml:space="preserve">GARFIELD, E.; PARIS, S. W.; STOCK, W. G. (2006). A software tool for informetric analysis of citation linkage., </w:t>
      </w:r>
      <w:r w:rsidRPr="00BF34F1">
        <w:rPr>
          <w:rFonts w:ascii="Times New Roman" w:hAnsi="Times New Roman"/>
          <w:i/>
          <w:iCs/>
          <w:noProof/>
          <w:sz w:val="24"/>
          <w:szCs w:val="24"/>
        </w:rPr>
        <w:t>57</w:t>
      </w:r>
      <w:r w:rsidRPr="00BF34F1">
        <w:rPr>
          <w:rFonts w:ascii="Times New Roman" w:hAnsi="Times New Roman"/>
          <w:noProof/>
          <w:sz w:val="24"/>
          <w:szCs w:val="24"/>
        </w:rPr>
        <w:t>(8), 391–400.</w:t>
      </w:r>
    </w:p>
    <w:p w:rsidR="00BF34F1" w:rsidRPr="00BF34F1" w:rsidRDefault="00BF34F1" w:rsidP="00BF34F1">
      <w:pPr>
        <w:widowControl w:val="0"/>
        <w:autoSpaceDE w:val="0"/>
        <w:autoSpaceDN w:val="0"/>
        <w:adjustRightInd w:val="0"/>
        <w:spacing w:after="140" w:line="240" w:lineRule="auto"/>
        <w:ind w:left="480" w:hanging="480"/>
        <w:rPr>
          <w:rFonts w:ascii="Times New Roman" w:hAnsi="Times New Roman"/>
          <w:noProof/>
          <w:sz w:val="24"/>
          <w:szCs w:val="24"/>
        </w:rPr>
      </w:pPr>
      <w:r w:rsidRPr="00BF34F1">
        <w:rPr>
          <w:rFonts w:ascii="Times New Roman" w:hAnsi="Times New Roman"/>
          <w:noProof/>
          <w:sz w:val="24"/>
          <w:szCs w:val="24"/>
        </w:rPr>
        <w:t xml:space="preserve">Li, X., &amp; Yang, H. I. (2016). Mandatory Financial Reporting and Voluntary Disclosure: The Effect of Mandatory IFRS Adoption on Management Forecasts. </w:t>
      </w:r>
      <w:r w:rsidRPr="00BF34F1">
        <w:rPr>
          <w:rFonts w:ascii="Times New Roman" w:hAnsi="Times New Roman"/>
          <w:i/>
          <w:iCs/>
          <w:noProof/>
          <w:sz w:val="24"/>
          <w:szCs w:val="24"/>
        </w:rPr>
        <w:t>ACCOUNTING REVIEW</w:t>
      </w:r>
      <w:r w:rsidRPr="00BF34F1">
        <w:rPr>
          <w:rFonts w:ascii="Times New Roman" w:hAnsi="Times New Roman"/>
          <w:noProof/>
          <w:sz w:val="24"/>
          <w:szCs w:val="24"/>
        </w:rPr>
        <w:t xml:space="preserve">, </w:t>
      </w:r>
      <w:r w:rsidRPr="00BF34F1">
        <w:rPr>
          <w:rFonts w:ascii="Times New Roman" w:hAnsi="Times New Roman"/>
          <w:i/>
          <w:iCs/>
          <w:noProof/>
          <w:sz w:val="24"/>
          <w:szCs w:val="24"/>
        </w:rPr>
        <w:t>91</w:t>
      </w:r>
      <w:r w:rsidRPr="00BF34F1">
        <w:rPr>
          <w:rFonts w:ascii="Times New Roman" w:hAnsi="Times New Roman"/>
          <w:noProof/>
          <w:sz w:val="24"/>
          <w:szCs w:val="24"/>
        </w:rPr>
        <w:t>(3), 933–953. https://doi.org/10.2308/accr-51296</w:t>
      </w:r>
    </w:p>
    <w:p w:rsidR="00BF34F1" w:rsidRPr="00BF34F1" w:rsidRDefault="00BF34F1" w:rsidP="00BF34F1">
      <w:pPr>
        <w:widowControl w:val="0"/>
        <w:autoSpaceDE w:val="0"/>
        <w:autoSpaceDN w:val="0"/>
        <w:adjustRightInd w:val="0"/>
        <w:spacing w:after="140" w:line="240" w:lineRule="auto"/>
        <w:ind w:left="480" w:hanging="480"/>
        <w:rPr>
          <w:rFonts w:ascii="Times New Roman" w:hAnsi="Times New Roman"/>
          <w:noProof/>
          <w:sz w:val="24"/>
        </w:rPr>
      </w:pPr>
      <w:r w:rsidRPr="00BF34F1">
        <w:rPr>
          <w:rFonts w:ascii="Times New Roman" w:hAnsi="Times New Roman"/>
          <w:noProof/>
          <w:sz w:val="24"/>
          <w:szCs w:val="24"/>
        </w:rPr>
        <w:t xml:space="preserve">Wieczynska, M. (2016). The ``Big’’ Consequences of IFRS: How and When Does the Adoption of IFRS Benefit Global Accounting Firms? </w:t>
      </w:r>
      <w:r w:rsidRPr="00BF34F1">
        <w:rPr>
          <w:rFonts w:ascii="Times New Roman" w:hAnsi="Times New Roman"/>
          <w:i/>
          <w:iCs/>
          <w:noProof/>
          <w:sz w:val="24"/>
          <w:szCs w:val="24"/>
        </w:rPr>
        <w:t>ACCOUNTING REVIEW</w:t>
      </w:r>
      <w:r w:rsidRPr="00BF34F1">
        <w:rPr>
          <w:rFonts w:ascii="Times New Roman" w:hAnsi="Times New Roman"/>
          <w:noProof/>
          <w:sz w:val="24"/>
          <w:szCs w:val="24"/>
        </w:rPr>
        <w:t xml:space="preserve">, </w:t>
      </w:r>
      <w:r w:rsidRPr="00BF34F1">
        <w:rPr>
          <w:rFonts w:ascii="Times New Roman" w:hAnsi="Times New Roman"/>
          <w:i/>
          <w:iCs/>
          <w:noProof/>
          <w:sz w:val="24"/>
          <w:szCs w:val="24"/>
        </w:rPr>
        <w:t>91</w:t>
      </w:r>
      <w:r w:rsidRPr="00BF34F1">
        <w:rPr>
          <w:rFonts w:ascii="Times New Roman" w:hAnsi="Times New Roman"/>
          <w:noProof/>
          <w:sz w:val="24"/>
          <w:szCs w:val="24"/>
        </w:rPr>
        <w:t>(4), 1257–1283. https://doi.org/10.2308/accr-51340</w:t>
      </w:r>
    </w:p>
    <w:p w:rsidR="009C54D9" w:rsidRPr="001271EE" w:rsidRDefault="00762C89" w:rsidP="00CE6DB9">
      <w:pPr>
        <w:widowControl w:val="0"/>
        <w:autoSpaceDE w:val="0"/>
        <w:autoSpaceDN w:val="0"/>
        <w:adjustRightInd w:val="0"/>
        <w:spacing w:after="140" w:line="288" w:lineRule="auto"/>
        <w:ind w:left="480" w:hanging="480"/>
        <w:rPr>
          <w:rFonts w:ascii="Times New Roman" w:hAnsi="Times New Roman"/>
          <w:b/>
          <w:sz w:val="24"/>
          <w:szCs w:val="24"/>
        </w:rPr>
      </w:pPr>
      <w:r>
        <w:rPr>
          <w:rFonts w:ascii="Times New Roman" w:hAnsi="Times New Roman"/>
          <w:b/>
          <w:sz w:val="24"/>
          <w:szCs w:val="24"/>
        </w:rPr>
        <w:fldChar w:fldCharType="end"/>
      </w:r>
    </w:p>
    <w:p w:rsidR="00277541" w:rsidRPr="009C54D9" w:rsidRDefault="00277541" w:rsidP="002E26BA">
      <w:pPr>
        <w:spacing w:after="120"/>
        <w:jc w:val="both"/>
        <w:rPr>
          <w:rFonts w:ascii="Times New Roman" w:hAnsi="Times New Roman"/>
          <w:b/>
          <w:strike/>
          <w:sz w:val="24"/>
          <w:szCs w:val="24"/>
        </w:rPr>
      </w:pPr>
    </w:p>
    <w:p w:rsidR="009C54D9" w:rsidRDefault="009C54D9" w:rsidP="009C54D9">
      <w:pPr>
        <w:spacing w:after="120"/>
        <w:ind w:left="1440"/>
        <w:jc w:val="both"/>
        <w:rPr>
          <w:rFonts w:ascii="Times New Roman" w:hAnsi="Times New Roman"/>
          <w:b/>
          <w:sz w:val="24"/>
          <w:szCs w:val="24"/>
        </w:rPr>
      </w:pPr>
    </w:p>
    <w:p w:rsidR="009C54D9" w:rsidRPr="001271EE" w:rsidRDefault="009C54D9" w:rsidP="009C54D9">
      <w:pPr>
        <w:spacing w:after="120"/>
        <w:ind w:left="1440"/>
        <w:jc w:val="both"/>
        <w:rPr>
          <w:rFonts w:ascii="Times New Roman" w:hAnsi="Times New Roman"/>
          <w:b/>
          <w:sz w:val="24"/>
          <w:szCs w:val="24"/>
        </w:rPr>
      </w:pPr>
    </w:p>
    <w:p w:rsidR="00277541" w:rsidRPr="00B902E8" w:rsidRDefault="00277541" w:rsidP="002E26BA">
      <w:pPr>
        <w:spacing w:after="120"/>
        <w:jc w:val="both"/>
        <w:rPr>
          <w:rFonts w:ascii="Times New Roman" w:hAnsi="Times New Roman"/>
          <w:sz w:val="20"/>
          <w:szCs w:val="20"/>
          <w:lang w:val="en-US"/>
        </w:rPr>
      </w:pPr>
    </w:p>
    <w:p w:rsidR="00277541" w:rsidRPr="00B902E8" w:rsidRDefault="00277541" w:rsidP="002E26BA">
      <w:pPr>
        <w:spacing w:after="120"/>
        <w:jc w:val="both"/>
        <w:rPr>
          <w:rFonts w:ascii="Times New Roman" w:hAnsi="Times New Roman"/>
          <w:sz w:val="20"/>
          <w:szCs w:val="20"/>
          <w:lang w:val="en-US"/>
        </w:rPr>
      </w:pPr>
    </w:p>
    <w:p w:rsidR="00277541" w:rsidRPr="006D68EC" w:rsidRDefault="00277541">
      <w:pPr>
        <w:spacing w:after="120"/>
        <w:jc w:val="both"/>
        <w:rPr>
          <w:rFonts w:ascii="Times New Roman" w:hAnsi="Times New Roman"/>
          <w:sz w:val="24"/>
          <w:szCs w:val="24"/>
          <w:lang w:val="en-US"/>
        </w:rPr>
      </w:pPr>
    </w:p>
    <w:p w:rsidR="00277541" w:rsidRPr="006D68EC" w:rsidRDefault="00277541">
      <w:pPr>
        <w:spacing w:after="120"/>
        <w:jc w:val="both"/>
        <w:rPr>
          <w:rFonts w:ascii="Times New Roman" w:hAnsi="Times New Roman"/>
          <w:sz w:val="24"/>
          <w:szCs w:val="24"/>
          <w:lang w:val="en-US"/>
        </w:rPr>
      </w:pPr>
    </w:p>
    <w:p w:rsidR="00277541" w:rsidRPr="006D68EC" w:rsidRDefault="00277541">
      <w:pPr>
        <w:spacing w:after="120"/>
        <w:jc w:val="both"/>
        <w:rPr>
          <w:rFonts w:ascii="Times New Roman" w:hAnsi="Times New Roman"/>
          <w:sz w:val="24"/>
          <w:szCs w:val="24"/>
          <w:lang w:val="en-US"/>
        </w:rPr>
      </w:pPr>
    </w:p>
    <w:sectPr w:rsidR="00277541" w:rsidRPr="006D68EC" w:rsidSect="001271E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575"/>
    <w:multiLevelType w:val="hybridMultilevel"/>
    <w:tmpl w:val="3F505566"/>
    <w:lvl w:ilvl="0" w:tplc="8E06FC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2F47F5"/>
    <w:multiLevelType w:val="hybridMultilevel"/>
    <w:tmpl w:val="B46E8600"/>
    <w:lvl w:ilvl="0" w:tplc="2106606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15:restartNumberingAfterBreak="0">
    <w:nsid w:val="0A297F7E"/>
    <w:multiLevelType w:val="hybridMultilevel"/>
    <w:tmpl w:val="9B0EEB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4E416A"/>
    <w:multiLevelType w:val="multilevel"/>
    <w:tmpl w:val="086E9E96"/>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677685"/>
    <w:multiLevelType w:val="hybridMultilevel"/>
    <w:tmpl w:val="56F80480"/>
    <w:lvl w:ilvl="0" w:tplc="8E06FC6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2B7C7ED0"/>
    <w:multiLevelType w:val="hybridMultilevel"/>
    <w:tmpl w:val="6C6491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634A0C"/>
    <w:multiLevelType w:val="hybridMultilevel"/>
    <w:tmpl w:val="BC0E0282"/>
    <w:lvl w:ilvl="0" w:tplc="A7AC0CAE">
      <w:start w:val="2"/>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49906A62"/>
    <w:multiLevelType w:val="hybridMultilevel"/>
    <w:tmpl w:val="0742E64A"/>
    <w:lvl w:ilvl="0" w:tplc="8E06FC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2944D0"/>
    <w:multiLevelType w:val="multilevel"/>
    <w:tmpl w:val="E4BE089E"/>
    <w:lvl w:ilvl="0">
      <w:start w:val="5"/>
      <w:numFmt w:val="decimal"/>
      <w:lvlText w:val="%1"/>
      <w:lvlJc w:val="left"/>
      <w:pPr>
        <w:ind w:left="643" w:hanging="360"/>
      </w:pPr>
      <w:rPr>
        <w:rFonts w:hint="default"/>
      </w:rPr>
    </w:lvl>
    <w:lvl w:ilvl="1">
      <w:start w:val="4"/>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15:restartNumberingAfterBreak="0">
    <w:nsid w:val="54DF31BE"/>
    <w:multiLevelType w:val="hybridMultilevel"/>
    <w:tmpl w:val="315879A8"/>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6316AA4"/>
    <w:multiLevelType w:val="hybridMultilevel"/>
    <w:tmpl w:val="1E4A610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7266CF"/>
    <w:multiLevelType w:val="hybridMultilevel"/>
    <w:tmpl w:val="B83C7F7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1"/>
  </w:num>
  <w:num w:numId="4">
    <w:abstractNumId w:val="2"/>
  </w:num>
  <w:num w:numId="5">
    <w:abstractNumId w:val="8"/>
  </w:num>
  <w:num w:numId="6">
    <w:abstractNumId w:val="10"/>
  </w:num>
  <w:num w:numId="7">
    <w:abstractNumId w:val="9"/>
  </w:num>
  <w:num w:numId="8">
    <w:abstractNumId w:val="3"/>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TMwMDOzMDcyMzVX0lEKTi0uzszPAykwrAUAC/wkGSwAAAA="/>
  </w:docVars>
  <w:rsids>
    <w:rsidRoot w:val="003E1E09"/>
    <w:rsid w:val="00020A2E"/>
    <w:rsid w:val="00044239"/>
    <w:rsid w:val="000523F1"/>
    <w:rsid w:val="000529D6"/>
    <w:rsid w:val="000734AB"/>
    <w:rsid w:val="0008049B"/>
    <w:rsid w:val="00087A41"/>
    <w:rsid w:val="000B34D1"/>
    <w:rsid w:val="000B5B4E"/>
    <w:rsid w:val="000C7A68"/>
    <w:rsid w:val="000D33C4"/>
    <w:rsid w:val="000D6375"/>
    <w:rsid w:val="000E29EE"/>
    <w:rsid w:val="001150E8"/>
    <w:rsid w:val="001228FE"/>
    <w:rsid w:val="001271EE"/>
    <w:rsid w:val="00151745"/>
    <w:rsid w:val="001572E7"/>
    <w:rsid w:val="00160F88"/>
    <w:rsid w:val="0016213F"/>
    <w:rsid w:val="00173BD0"/>
    <w:rsid w:val="0018714A"/>
    <w:rsid w:val="00187E7C"/>
    <w:rsid w:val="00190FC6"/>
    <w:rsid w:val="00196804"/>
    <w:rsid w:val="001A760C"/>
    <w:rsid w:val="001B5CB0"/>
    <w:rsid w:val="001D1739"/>
    <w:rsid w:val="001D2E70"/>
    <w:rsid w:val="001E3E6F"/>
    <w:rsid w:val="001F4AD4"/>
    <w:rsid w:val="001F6EFE"/>
    <w:rsid w:val="002158C9"/>
    <w:rsid w:val="00215C11"/>
    <w:rsid w:val="00233414"/>
    <w:rsid w:val="00242734"/>
    <w:rsid w:val="00262BDA"/>
    <w:rsid w:val="00263694"/>
    <w:rsid w:val="00267996"/>
    <w:rsid w:val="00277541"/>
    <w:rsid w:val="002965EF"/>
    <w:rsid w:val="002A3DA6"/>
    <w:rsid w:val="002C0DCE"/>
    <w:rsid w:val="002C2790"/>
    <w:rsid w:val="002D15E3"/>
    <w:rsid w:val="002D6BA5"/>
    <w:rsid w:val="002E26BA"/>
    <w:rsid w:val="002F221A"/>
    <w:rsid w:val="0030542D"/>
    <w:rsid w:val="00306E64"/>
    <w:rsid w:val="003168AA"/>
    <w:rsid w:val="003347C4"/>
    <w:rsid w:val="003408D3"/>
    <w:rsid w:val="00342BFC"/>
    <w:rsid w:val="00350C28"/>
    <w:rsid w:val="0036336A"/>
    <w:rsid w:val="00367655"/>
    <w:rsid w:val="00377E61"/>
    <w:rsid w:val="0038478F"/>
    <w:rsid w:val="00385547"/>
    <w:rsid w:val="00385F3F"/>
    <w:rsid w:val="0039010A"/>
    <w:rsid w:val="00394C5F"/>
    <w:rsid w:val="00397D75"/>
    <w:rsid w:val="003C354C"/>
    <w:rsid w:val="003C53F8"/>
    <w:rsid w:val="003C5D9F"/>
    <w:rsid w:val="003D096A"/>
    <w:rsid w:val="003D199A"/>
    <w:rsid w:val="003E1E09"/>
    <w:rsid w:val="003F2EF3"/>
    <w:rsid w:val="003F36C9"/>
    <w:rsid w:val="0040215C"/>
    <w:rsid w:val="00403238"/>
    <w:rsid w:val="00406663"/>
    <w:rsid w:val="004101F3"/>
    <w:rsid w:val="004107ED"/>
    <w:rsid w:val="00413580"/>
    <w:rsid w:val="004137FB"/>
    <w:rsid w:val="004438E1"/>
    <w:rsid w:val="00443A46"/>
    <w:rsid w:val="00461C37"/>
    <w:rsid w:val="00462144"/>
    <w:rsid w:val="00463301"/>
    <w:rsid w:val="004907B7"/>
    <w:rsid w:val="004942D5"/>
    <w:rsid w:val="004A0AC6"/>
    <w:rsid w:val="004A4578"/>
    <w:rsid w:val="004B26BB"/>
    <w:rsid w:val="004C265C"/>
    <w:rsid w:val="004C2B82"/>
    <w:rsid w:val="004F29C8"/>
    <w:rsid w:val="00504795"/>
    <w:rsid w:val="00515AF4"/>
    <w:rsid w:val="005161A4"/>
    <w:rsid w:val="005302A9"/>
    <w:rsid w:val="0053100C"/>
    <w:rsid w:val="00531380"/>
    <w:rsid w:val="00532C51"/>
    <w:rsid w:val="00537C68"/>
    <w:rsid w:val="0054769D"/>
    <w:rsid w:val="00550C3C"/>
    <w:rsid w:val="005563B3"/>
    <w:rsid w:val="00562E8B"/>
    <w:rsid w:val="005733CD"/>
    <w:rsid w:val="005740C7"/>
    <w:rsid w:val="0058028F"/>
    <w:rsid w:val="0059259E"/>
    <w:rsid w:val="00594CB2"/>
    <w:rsid w:val="0059773B"/>
    <w:rsid w:val="005A3144"/>
    <w:rsid w:val="005A7CE5"/>
    <w:rsid w:val="005B376A"/>
    <w:rsid w:val="005B7224"/>
    <w:rsid w:val="005D13FE"/>
    <w:rsid w:val="005D304D"/>
    <w:rsid w:val="005E4A33"/>
    <w:rsid w:val="005E651A"/>
    <w:rsid w:val="00607B4E"/>
    <w:rsid w:val="00630396"/>
    <w:rsid w:val="0064063A"/>
    <w:rsid w:val="00647218"/>
    <w:rsid w:val="00650066"/>
    <w:rsid w:val="0065052F"/>
    <w:rsid w:val="006512B7"/>
    <w:rsid w:val="00653B7A"/>
    <w:rsid w:val="00682A83"/>
    <w:rsid w:val="00687F57"/>
    <w:rsid w:val="00691928"/>
    <w:rsid w:val="00692AB4"/>
    <w:rsid w:val="00697638"/>
    <w:rsid w:val="006A2D39"/>
    <w:rsid w:val="006A6D68"/>
    <w:rsid w:val="006B0524"/>
    <w:rsid w:val="006C01D5"/>
    <w:rsid w:val="006C1D93"/>
    <w:rsid w:val="006C7947"/>
    <w:rsid w:val="006D0921"/>
    <w:rsid w:val="006D297B"/>
    <w:rsid w:val="006D68EC"/>
    <w:rsid w:val="006D77B9"/>
    <w:rsid w:val="006E093D"/>
    <w:rsid w:val="006F233A"/>
    <w:rsid w:val="00711793"/>
    <w:rsid w:val="007141AB"/>
    <w:rsid w:val="00717111"/>
    <w:rsid w:val="00726C58"/>
    <w:rsid w:val="0073124B"/>
    <w:rsid w:val="00735541"/>
    <w:rsid w:val="0073774A"/>
    <w:rsid w:val="00741099"/>
    <w:rsid w:val="00756165"/>
    <w:rsid w:val="00760E72"/>
    <w:rsid w:val="00762C89"/>
    <w:rsid w:val="0077627B"/>
    <w:rsid w:val="00785FEB"/>
    <w:rsid w:val="007B4A55"/>
    <w:rsid w:val="007C153C"/>
    <w:rsid w:val="007D3B0D"/>
    <w:rsid w:val="007E14E4"/>
    <w:rsid w:val="007F1BB0"/>
    <w:rsid w:val="007F492C"/>
    <w:rsid w:val="007F6C14"/>
    <w:rsid w:val="008053D3"/>
    <w:rsid w:val="00806D6B"/>
    <w:rsid w:val="00810C36"/>
    <w:rsid w:val="00815CD4"/>
    <w:rsid w:val="008175B7"/>
    <w:rsid w:val="00822665"/>
    <w:rsid w:val="00830DF3"/>
    <w:rsid w:val="00856EF1"/>
    <w:rsid w:val="008A2795"/>
    <w:rsid w:val="008C5D1F"/>
    <w:rsid w:val="008C739D"/>
    <w:rsid w:val="008D3AC1"/>
    <w:rsid w:val="008D4F0F"/>
    <w:rsid w:val="008F542C"/>
    <w:rsid w:val="008F58F4"/>
    <w:rsid w:val="0090047A"/>
    <w:rsid w:val="00901EE8"/>
    <w:rsid w:val="009220EA"/>
    <w:rsid w:val="00926F11"/>
    <w:rsid w:val="0094551F"/>
    <w:rsid w:val="00951301"/>
    <w:rsid w:val="00953C27"/>
    <w:rsid w:val="00961447"/>
    <w:rsid w:val="009643D6"/>
    <w:rsid w:val="0096748F"/>
    <w:rsid w:val="00970108"/>
    <w:rsid w:val="00984A17"/>
    <w:rsid w:val="0099397E"/>
    <w:rsid w:val="009A75A7"/>
    <w:rsid w:val="009B3693"/>
    <w:rsid w:val="009C54D9"/>
    <w:rsid w:val="009D22E4"/>
    <w:rsid w:val="009D5217"/>
    <w:rsid w:val="009E330F"/>
    <w:rsid w:val="00A067CC"/>
    <w:rsid w:val="00A07CD1"/>
    <w:rsid w:val="00A07F86"/>
    <w:rsid w:val="00A10768"/>
    <w:rsid w:val="00A120B5"/>
    <w:rsid w:val="00A129A4"/>
    <w:rsid w:val="00A14771"/>
    <w:rsid w:val="00A15A01"/>
    <w:rsid w:val="00A1740F"/>
    <w:rsid w:val="00A200F5"/>
    <w:rsid w:val="00A24BB8"/>
    <w:rsid w:val="00A24E40"/>
    <w:rsid w:val="00A31242"/>
    <w:rsid w:val="00A41F19"/>
    <w:rsid w:val="00A7022E"/>
    <w:rsid w:val="00A702BF"/>
    <w:rsid w:val="00AA24DB"/>
    <w:rsid w:val="00AA3B89"/>
    <w:rsid w:val="00AA7B59"/>
    <w:rsid w:val="00AB4A77"/>
    <w:rsid w:val="00AB5187"/>
    <w:rsid w:val="00AC7F45"/>
    <w:rsid w:val="00AE05BD"/>
    <w:rsid w:val="00AE3C06"/>
    <w:rsid w:val="00AF0AA9"/>
    <w:rsid w:val="00AF1ABF"/>
    <w:rsid w:val="00AF3E59"/>
    <w:rsid w:val="00AF7E9C"/>
    <w:rsid w:val="00B109E5"/>
    <w:rsid w:val="00B26D41"/>
    <w:rsid w:val="00B330A2"/>
    <w:rsid w:val="00B37CAA"/>
    <w:rsid w:val="00B50F0E"/>
    <w:rsid w:val="00B57EC5"/>
    <w:rsid w:val="00B617AE"/>
    <w:rsid w:val="00B7577C"/>
    <w:rsid w:val="00B855E4"/>
    <w:rsid w:val="00B902E8"/>
    <w:rsid w:val="00BA0242"/>
    <w:rsid w:val="00BA14CE"/>
    <w:rsid w:val="00BC1B71"/>
    <w:rsid w:val="00BC20D5"/>
    <w:rsid w:val="00BC29DE"/>
    <w:rsid w:val="00BE34D2"/>
    <w:rsid w:val="00BE5E9B"/>
    <w:rsid w:val="00BE6D4A"/>
    <w:rsid w:val="00BF34F1"/>
    <w:rsid w:val="00BF5823"/>
    <w:rsid w:val="00BF63D2"/>
    <w:rsid w:val="00C04338"/>
    <w:rsid w:val="00C04361"/>
    <w:rsid w:val="00C06FAF"/>
    <w:rsid w:val="00C20C32"/>
    <w:rsid w:val="00C23777"/>
    <w:rsid w:val="00C25E92"/>
    <w:rsid w:val="00C40346"/>
    <w:rsid w:val="00C43B34"/>
    <w:rsid w:val="00C452FF"/>
    <w:rsid w:val="00C4594D"/>
    <w:rsid w:val="00C53023"/>
    <w:rsid w:val="00C53696"/>
    <w:rsid w:val="00C61995"/>
    <w:rsid w:val="00C71C1B"/>
    <w:rsid w:val="00C76A68"/>
    <w:rsid w:val="00C90FC0"/>
    <w:rsid w:val="00C96147"/>
    <w:rsid w:val="00CA3551"/>
    <w:rsid w:val="00CB45FC"/>
    <w:rsid w:val="00CD519E"/>
    <w:rsid w:val="00CE246E"/>
    <w:rsid w:val="00CE6613"/>
    <w:rsid w:val="00CE6DB9"/>
    <w:rsid w:val="00CF1BF1"/>
    <w:rsid w:val="00CF38DC"/>
    <w:rsid w:val="00CF48B1"/>
    <w:rsid w:val="00D10F51"/>
    <w:rsid w:val="00D15773"/>
    <w:rsid w:val="00D26B00"/>
    <w:rsid w:val="00D3037F"/>
    <w:rsid w:val="00D34A63"/>
    <w:rsid w:val="00D53D3E"/>
    <w:rsid w:val="00D60ED1"/>
    <w:rsid w:val="00D63F59"/>
    <w:rsid w:val="00D64A55"/>
    <w:rsid w:val="00D817F5"/>
    <w:rsid w:val="00D83D3D"/>
    <w:rsid w:val="00D929AF"/>
    <w:rsid w:val="00DB2662"/>
    <w:rsid w:val="00DB3998"/>
    <w:rsid w:val="00DB59A7"/>
    <w:rsid w:val="00DB7C02"/>
    <w:rsid w:val="00E1277B"/>
    <w:rsid w:val="00E134DB"/>
    <w:rsid w:val="00E151D5"/>
    <w:rsid w:val="00E273C9"/>
    <w:rsid w:val="00E377C9"/>
    <w:rsid w:val="00E43F40"/>
    <w:rsid w:val="00E442B1"/>
    <w:rsid w:val="00E4443A"/>
    <w:rsid w:val="00E63DD1"/>
    <w:rsid w:val="00E72E46"/>
    <w:rsid w:val="00E757A7"/>
    <w:rsid w:val="00E81FBA"/>
    <w:rsid w:val="00E9516D"/>
    <w:rsid w:val="00E95823"/>
    <w:rsid w:val="00E95EE5"/>
    <w:rsid w:val="00EA5224"/>
    <w:rsid w:val="00EC60A2"/>
    <w:rsid w:val="00ED3F69"/>
    <w:rsid w:val="00ED710F"/>
    <w:rsid w:val="00EE01DC"/>
    <w:rsid w:val="00EE3A17"/>
    <w:rsid w:val="00EE66ED"/>
    <w:rsid w:val="00EF6D20"/>
    <w:rsid w:val="00F00181"/>
    <w:rsid w:val="00F001A9"/>
    <w:rsid w:val="00F011AB"/>
    <w:rsid w:val="00F02288"/>
    <w:rsid w:val="00F1324B"/>
    <w:rsid w:val="00F228E5"/>
    <w:rsid w:val="00F2790E"/>
    <w:rsid w:val="00F32C0F"/>
    <w:rsid w:val="00F46D60"/>
    <w:rsid w:val="00F54093"/>
    <w:rsid w:val="00F563B7"/>
    <w:rsid w:val="00F57AC1"/>
    <w:rsid w:val="00F57C18"/>
    <w:rsid w:val="00F67C15"/>
    <w:rsid w:val="00F72ECD"/>
    <w:rsid w:val="00F80633"/>
    <w:rsid w:val="00F81E6F"/>
    <w:rsid w:val="00F964AC"/>
    <w:rsid w:val="00F96D8F"/>
    <w:rsid w:val="00FA1B26"/>
    <w:rsid w:val="00FA42B4"/>
    <w:rsid w:val="00FA52EA"/>
    <w:rsid w:val="00FC0386"/>
    <w:rsid w:val="00FC0432"/>
    <w:rsid w:val="00FC59AD"/>
    <w:rsid w:val="00FC6156"/>
    <w:rsid w:val="00FD3006"/>
    <w:rsid w:val="00FD5173"/>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1C176-420F-4B0D-BBE2-39C1037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9E"/>
    <w:pPr>
      <w:spacing w:after="200" w:line="276" w:lineRule="auto"/>
    </w:pPr>
    <w:rPr>
      <w:rFonts w:eastAsia="Times New Roman"/>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ghtShading1">
    <w:name w:val="Light Shading1"/>
    <w:rsid w:val="00D60ED1"/>
    <w:rPr>
      <w:rFonts w:eastAsia="Times New Roman"/>
      <w:color w:val="000000"/>
      <w:lang w:val="pt-BR"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1">
    <w:name w:val="Sombreamento Claro - Ênfase 11"/>
    <w:rsid w:val="00D60ED1"/>
    <w:rPr>
      <w:rFonts w:eastAsia="Times New Roman"/>
      <w:color w:val="365F91"/>
      <w:lang w:val="pt-BR"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elacomgrade">
    <w:name w:val="Table Grid"/>
    <w:basedOn w:val="Tabelanormal"/>
    <w:locked/>
    <w:rsid w:val="00D60ED1"/>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1">
    <w:name w:val="Medium Grid 11"/>
    <w:rsid w:val="00D60ED1"/>
    <w:rPr>
      <w:rFonts w:eastAsia="Times New Roman"/>
      <w:lang w:val="pt-BR"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hps">
    <w:name w:val="hps"/>
    <w:rsid w:val="00D929AF"/>
  </w:style>
  <w:style w:type="character" w:customStyle="1" w:styleId="hpsatn">
    <w:name w:val="hps atn"/>
    <w:rsid w:val="00D929AF"/>
  </w:style>
  <w:style w:type="character" w:customStyle="1" w:styleId="apple-converted-space">
    <w:name w:val="apple-converted-space"/>
    <w:rsid w:val="00AF0AA9"/>
  </w:style>
  <w:style w:type="paragraph" w:styleId="PargrafodaLista">
    <w:name w:val="List Paragraph"/>
    <w:basedOn w:val="Normal"/>
    <w:uiPriority w:val="34"/>
    <w:qFormat/>
    <w:rsid w:val="00856EF1"/>
    <w:pPr>
      <w:ind w:left="720"/>
      <w:contextualSpacing/>
    </w:pPr>
  </w:style>
  <w:style w:type="paragraph" w:styleId="Textodebalo">
    <w:name w:val="Balloon Text"/>
    <w:basedOn w:val="Normal"/>
    <w:link w:val="TextodebaloChar"/>
    <w:rsid w:val="008D4F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D4F0F"/>
    <w:rPr>
      <w:rFonts w:ascii="Tahoma" w:eastAsia="Times New Roman" w:hAnsi="Tahoma" w:cs="Tahoma"/>
      <w:sz w:val="16"/>
      <w:szCs w:val="16"/>
      <w:lang w:val="pt-BR"/>
    </w:rPr>
  </w:style>
  <w:style w:type="character" w:styleId="nfase">
    <w:name w:val="Emphasis"/>
    <w:basedOn w:val="Fontepargpadro"/>
    <w:qFormat/>
    <w:locked/>
    <w:rsid w:val="00EC60A2"/>
    <w:rPr>
      <w:i/>
      <w:iCs/>
    </w:rPr>
  </w:style>
  <w:style w:type="character" w:styleId="Forte">
    <w:name w:val="Strong"/>
    <w:basedOn w:val="Fontepargpadro"/>
    <w:qFormat/>
    <w:locked/>
    <w:rsid w:val="00EC60A2"/>
    <w:rPr>
      <w:b/>
      <w:bCs/>
    </w:rPr>
  </w:style>
  <w:style w:type="paragraph" w:styleId="TextosemFormatao">
    <w:name w:val="Plain Text"/>
    <w:basedOn w:val="Normal"/>
    <w:link w:val="TextosemFormataoChar"/>
    <w:uiPriority w:val="99"/>
    <w:unhideWhenUsed/>
    <w:rsid w:val="009643D6"/>
    <w:pPr>
      <w:spacing w:after="0" w:line="240" w:lineRule="auto"/>
    </w:pPr>
    <w:rPr>
      <w:rFonts w:ascii="Consolas" w:eastAsiaTheme="minorHAnsi" w:hAnsi="Consolas" w:cstheme="minorBidi"/>
      <w:sz w:val="21"/>
      <w:szCs w:val="21"/>
    </w:rPr>
  </w:style>
  <w:style w:type="character" w:customStyle="1" w:styleId="TextosemFormataoChar">
    <w:name w:val="Texto sem Formatação Char"/>
    <w:basedOn w:val="Fontepargpadro"/>
    <w:link w:val="TextosemFormatao"/>
    <w:uiPriority w:val="99"/>
    <w:rsid w:val="009643D6"/>
    <w:rPr>
      <w:rFonts w:ascii="Consolas" w:eastAsiaTheme="minorHAnsi" w:hAnsi="Consolas" w:cstheme="minorBidi"/>
      <w:sz w:val="21"/>
      <w:szCs w:val="21"/>
      <w:lang w:val="pt-BR"/>
    </w:rPr>
  </w:style>
  <w:style w:type="paragraph" w:styleId="Legenda">
    <w:name w:val="caption"/>
    <w:basedOn w:val="Normal"/>
    <w:next w:val="Normal"/>
    <w:unhideWhenUsed/>
    <w:qFormat/>
    <w:locked/>
    <w:rsid w:val="0050479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4423-3C54-4AAB-9E23-887BCE40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3427</Words>
  <Characters>18509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GESTÃO DO CONHECIMENTO E INOVAÇÃO: UM ESTUDO BIBLIOMÉTRICO</vt:lpstr>
    </vt:vector>
  </TitlesOfParts>
  <Company>Microsoft</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 CONHECIMENTO E INOVAÇÃO: UM ESTUDO BIBLIOMÉTRICO</dc:title>
  <dc:creator>LaSDPC</dc:creator>
  <cp:lastModifiedBy>Vinicius</cp:lastModifiedBy>
  <cp:revision>3</cp:revision>
  <cp:lastPrinted>2013-07-19T15:46:00Z</cp:lastPrinted>
  <dcterms:created xsi:type="dcterms:W3CDTF">2017-12-17T15:13:00Z</dcterms:created>
  <dcterms:modified xsi:type="dcterms:W3CDTF">2017-12-17T15:23:00Z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2adbc02c-7f24-366d-99e9-1be2c8644a6c</vt:lpwstr>
  </property>
  <property fmtid="{D5CDD505-2E9C-101B-9397-08002B2CF9AE}" pid="24" name="Mendeley Citation Style_1">
    <vt:lpwstr>http://www.zotero.org/styles/apa</vt:lpwstr>
  </property>
</Properties>
</file>