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98" w:rsidRDefault="00581B7E" w:rsidP="00F16798">
      <w:pPr>
        <w:spacing w:after="120"/>
        <w:jc w:val="center"/>
        <w:rPr>
          <w:rFonts w:ascii="Times New Roman" w:hAnsi="Times New Roman"/>
          <w:b/>
          <w:sz w:val="24"/>
          <w:szCs w:val="24"/>
          <w:lang w:val="en-US"/>
        </w:rPr>
      </w:pPr>
      <w:r>
        <w:rPr>
          <w:rFonts w:ascii="Times New Roman" w:hAnsi="Times New Roman"/>
          <w:b/>
          <w:sz w:val="24"/>
          <w:szCs w:val="24"/>
          <w:lang w:val="en-US"/>
        </w:rPr>
        <w:t xml:space="preserve">A </w:t>
      </w:r>
      <w:proofErr w:type="spellStart"/>
      <w:r>
        <w:rPr>
          <w:rFonts w:ascii="Times New Roman" w:hAnsi="Times New Roman"/>
          <w:b/>
          <w:sz w:val="24"/>
          <w:szCs w:val="24"/>
          <w:lang w:val="en-US"/>
        </w:rPr>
        <w:t>contabilidade</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custos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aplicada</w:t>
      </w:r>
      <w:proofErr w:type="spellEnd"/>
      <w:r>
        <w:rPr>
          <w:rFonts w:ascii="Times New Roman" w:hAnsi="Times New Roman"/>
          <w:b/>
          <w:sz w:val="24"/>
          <w:szCs w:val="24"/>
          <w:lang w:val="en-US"/>
        </w:rPr>
        <w:t xml:space="preserve"> no</w:t>
      </w:r>
      <w:r w:rsidR="00F16798">
        <w:rPr>
          <w:rFonts w:ascii="Times New Roman" w:hAnsi="Times New Roman"/>
          <w:b/>
          <w:sz w:val="24"/>
          <w:szCs w:val="24"/>
          <w:lang w:val="en-US"/>
        </w:rPr>
        <w:t xml:space="preserve"> </w:t>
      </w:r>
      <w:proofErr w:type="spellStart"/>
      <w:r w:rsidR="00F16798">
        <w:rPr>
          <w:rFonts w:ascii="Times New Roman" w:hAnsi="Times New Roman"/>
          <w:b/>
          <w:sz w:val="24"/>
          <w:szCs w:val="24"/>
          <w:lang w:val="en-US"/>
        </w:rPr>
        <w:t>setor</w:t>
      </w:r>
      <w:proofErr w:type="spellEnd"/>
      <w:r w:rsidR="00F16798">
        <w:rPr>
          <w:rFonts w:ascii="Times New Roman" w:hAnsi="Times New Roman"/>
          <w:b/>
          <w:sz w:val="24"/>
          <w:szCs w:val="24"/>
          <w:lang w:val="en-US"/>
        </w:rPr>
        <w:t xml:space="preserve"> </w:t>
      </w:r>
      <w:proofErr w:type="spellStart"/>
      <w:r w:rsidR="00F16798">
        <w:rPr>
          <w:rFonts w:ascii="Times New Roman" w:hAnsi="Times New Roman"/>
          <w:b/>
          <w:sz w:val="24"/>
          <w:szCs w:val="24"/>
          <w:lang w:val="en-US"/>
        </w:rPr>
        <w:t>público</w:t>
      </w:r>
      <w:proofErr w:type="spellEnd"/>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E555E6" w:rsidP="002E26BA">
      <w:pPr>
        <w:spacing w:after="120"/>
        <w:jc w:val="both"/>
        <w:rPr>
          <w:rFonts w:ascii="Times New Roman" w:hAnsi="Times New Roman"/>
          <w:b/>
          <w:sz w:val="24"/>
          <w:szCs w:val="24"/>
          <w:lang w:val="en-US"/>
        </w:rPr>
      </w:pPr>
      <w:proofErr w:type="spellStart"/>
      <w:r>
        <w:rPr>
          <w:rFonts w:ascii="Times New Roman" w:hAnsi="Times New Roman"/>
          <w:b/>
          <w:sz w:val="24"/>
          <w:szCs w:val="24"/>
          <w:lang w:val="en-US"/>
        </w:rPr>
        <w:t>Resumo</w:t>
      </w:r>
      <w:proofErr w:type="spellEnd"/>
    </w:p>
    <w:p w:rsidR="00E555E6" w:rsidRPr="00E555E6" w:rsidRDefault="00E555E6" w:rsidP="00E555E6">
      <w:pPr>
        <w:spacing w:after="120"/>
        <w:ind w:firstLine="708"/>
        <w:jc w:val="both"/>
        <w:rPr>
          <w:rFonts w:ascii="Times New Roman" w:hAnsi="Times New Roman"/>
          <w:b/>
          <w:sz w:val="24"/>
          <w:szCs w:val="24"/>
          <w:lang w:val="en-US"/>
        </w:rPr>
      </w:pPr>
      <w:r w:rsidRPr="00E555E6">
        <w:rPr>
          <w:rFonts w:ascii="Times New Roman" w:hAnsi="Times New Roman"/>
          <w:color w:val="000000"/>
          <w:sz w:val="24"/>
          <w:szCs w:val="24"/>
        </w:rPr>
        <w:t>A contabilidade de custos é uma excelente ferramenta de apoio à gestão dos recursos e empreendimentos públicos. Essa ferramenta gera informações, que se forem corretas e precisas, ajudam o gestor no planejamento, desempenho e controle das operações. Faz-se cada vez mais necessário o controle eficaz e a aplicação correta dos recursos públicos, uma vez que a população, com mais acesso à informação através da Internet, se torna mais atuante e participativa, exercendo pressão sobre os maus administradores públicos, exigindo qualidade e eficiência na aplicação desses recursos.</w:t>
      </w:r>
    </w:p>
    <w:p w:rsidR="00E555E6" w:rsidRPr="00E555E6" w:rsidRDefault="00E555E6"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F16798" w:rsidRDefault="00F16798" w:rsidP="002E26BA">
      <w:pPr>
        <w:spacing w:after="120"/>
        <w:jc w:val="both"/>
        <w:rPr>
          <w:rFonts w:ascii="Times New Roman" w:hAnsi="Times New Roman"/>
          <w:b/>
          <w:sz w:val="24"/>
          <w:szCs w:val="24"/>
          <w:lang w:val="en-US"/>
        </w:rPr>
      </w:pPr>
    </w:p>
    <w:p w:rsidR="00E30FA6" w:rsidRDefault="00E30FA6" w:rsidP="00E30FA6">
      <w:pPr>
        <w:spacing w:after="120"/>
        <w:jc w:val="both"/>
        <w:rPr>
          <w:rFonts w:ascii="Times New Roman" w:hAnsi="Times New Roman"/>
          <w:b/>
          <w:sz w:val="24"/>
          <w:szCs w:val="24"/>
          <w:lang w:val="en-US"/>
        </w:rPr>
      </w:pPr>
    </w:p>
    <w:p w:rsidR="00277541" w:rsidRPr="00E30FA6" w:rsidRDefault="00E30FA6" w:rsidP="00E30FA6">
      <w:pPr>
        <w:spacing w:after="120"/>
        <w:jc w:val="both"/>
        <w:rPr>
          <w:rFonts w:ascii="Times New Roman" w:hAnsi="Times New Roman"/>
          <w:b/>
          <w:sz w:val="24"/>
          <w:szCs w:val="24"/>
          <w:lang w:val="en-US"/>
        </w:rPr>
      </w:pPr>
      <w:r>
        <w:rPr>
          <w:rFonts w:ascii="Times New Roman" w:hAnsi="Times New Roman"/>
          <w:b/>
          <w:sz w:val="24"/>
          <w:szCs w:val="24"/>
          <w:lang w:val="en-US"/>
        </w:rPr>
        <w:lastRenderedPageBreak/>
        <w:t>1</w:t>
      </w:r>
      <w:r>
        <w:rPr>
          <w:rFonts w:ascii="Times New Roman" w:hAnsi="Times New Roman"/>
          <w:b/>
          <w:sz w:val="24"/>
          <w:szCs w:val="24"/>
          <w:lang w:val="en-US"/>
        </w:rPr>
        <w:tab/>
      </w:r>
      <w:proofErr w:type="spellStart"/>
      <w:r>
        <w:rPr>
          <w:rFonts w:ascii="Times New Roman" w:hAnsi="Times New Roman"/>
          <w:b/>
          <w:sz w:val="24"/>
          <w:szCs w:val="24"/>
          <w:lang w:val="en-US"/>
        </w:rPr>
        <w:t>Introdução</w:t>
      </w:r>
      <w:proofErr w:type="spellEnd"/>
    </w:p>
    <w:p w:rsidR="005B0AC0" w:rsidRPr="005B0AC0" w:rsidRDefault="005B0AC0" w:rsidP="0036364D">
      <w:pPr>
        <w:pStyle w:val="NormalWeb"/>
        <w:ind w:firstLine="708"/>
        <w:jc w:val="both"/>
        <w:rPr>
          <w:color w:val="000000"/>
        </w:rPr>
      </w:pPr>
      <w:r w:rsidRPr="005B0AC0">
        <w:t>Muit</w:t>
      </w:r>
      <w:r w:rsidRPr="005B0AC0">
        <w:rPr>
          <w:color w:val="000000"/>
        </w:rPr>
        <w:t>o se fala na ineficiência da gestão e execução dos serviços públicos no Brasil. O fato é que essa deficiência apresentada não é decorrente apenas da falta de investimento do governo nesses serviços. Uma gestão equilibrada e mais profissionalizada elevaria o nível de atendimento do sistema público, obtendo um ótimo resultado sem a necessidade de uma alta aplicação de recurso nessa área, precisando apenas aperfeiçoar os recursos já existentes.</w:t>
      </w:r>
    </w:p>
    <w:p w:rsidR="005B0AC0" w:rsidRPr="005B0AC0" w:rsidRDefault="005B0AC0" w:rsidP="005B0AC0">
      <w:pPr>
        <w:pStyle w:val="NormalWeb"/>
        <w:ind w:firstLine="708"/>
        <w:jc w:val="both"/>
        <w:rPr>
          <w:color w:val="000000"/>
        </w:rPr>
      </w:pPr>
      <w:r w:rsidRPr="005B0AC0">
        <w:rPr>
          <w:color w:val="000000"/>
        </w:rPr>
        <w:t>O acesso a dados através das ferramentas de tecnologia da informação e da Internet proporcionou à população tornar-se inserida na vida política e social do Brasil, o que está desenvolvendo pessoas mais exigentes e críticas. Por isso, é necessária a criação de indicadores para que os cidadãos acompanhem as ações governamentais. Além disso, os resultados obtidos devem ser mensurados e confrontados com a ação planejada.</w:t>
      </w:r>
    </w:p>
    <w:p w:rsidR="005B0AC0" w:rsidRPr="005B0AC0" w:rsidRDefault="005B0AC0" w:rsidP="005B0AC0">
      <w:pPr>
        <w:pStyle w:val="NormalWeb"/>
        <w:ind w:firstLine="708"/>
        <w:jc w:val="both"/>
        <w:rPr>
          <w:color w:val="000000"/>
        </w:rPr>
      </w:pPr>
      <w:r w:rsidRPr="005B0AC0">
        <w:rPr>
          <w:color w:val="000000"/>
        </w:rPr>
        <w:t>Por ter a população, uma maior observação sobre a eficácia do setor público, fica inevitável pensar numa forma de aprimorar a gestão pública. Sendo assim, seria possível a implantação de um eficaz controle de custos, pois os investimentos do governo sempre são reduzidos, apesar de haver um excesso de vinculações e despesas obrigatórias. Então, a gestão de custos, junto aos tomadores de decisão, se torna mais importante para saber a real causa da necessidade de mais recursos.</w:t>
      </w:r>
    </w:p>
    <w:p w:rsidR="005B0AC0" w:rsidRPr="005B0AC0" w:rsidRDefault="005B0AC0" w:rsidP="005B0AC0">
      <w:pPr>
        <w:pStyle w:val="NormalWeb"/>
        <w:ind w:firstLine="708"/>
        <w:jc w:val="both"/>
        <w:rPr>
          <w:color w:val="000000"/>
        </w:rPr>
      </w:pPr>
      <w:r w:rsidRPr="005B0AC0">
        <w:rPr>
          <w:color w:val="000000"/>
        </w:rPr>
        <w:t>A contabilidade de custos vem se mostrando muito eficaz nesse cenário. Ela é uma ferramenta gerencial capaz de direcionar os gestores públicos a tomar a melhor decisão possível. Além disso, pode ser usada para ajudar no planejamento governamental, mostrando quais os melhores investimentos a serem feitos nas diversas áreas do governo, isso com base nos cálculos dos custos de programas, projetos, ações, etc... E é com a contabilidade de custos realmente aplicada ao sistema público que na administração pública voltada para a administração gerencial, se vê a importância dela para a eficiência dos administradores.</w:t>
      </w:r>
    </w:p>
    <w:p w:rsidR="005B0AC0" w:rsidRPr="005B0AC0" w:rsidRDefault="005B0AC0" w:rsidP="005B0AC0">
      <w:pPr>
        <w:pStyle w:val="NormalWeb"/>
        <w:ind w:firstLine="708"/>
        <w:jc w:val="both"/>
        <w:rPr>
          <w:color w:val="000000"/>
        </w:rPr>
      </w:pPr>
      <w:r w:rsidRPr="005B0AC0">
        <w:rPr>
          <w:color w:val="000000"/>
        </w:rPr>
        <w:t>A eficiência dos serviços públicos pode ser avaliada pela contabilidade de custos e, para isso, deve-se obter uma noção clara e objetiva dos custos, tornando possível calcular o custo de um aluno ou de um paciente, por exemplo. É com a mensuração física associada à monetária e pelo controle dos dados internos da gestão do setor público que se torna possível acompanhar as ações do administrador público, ter conhecimento dos reais custos e, assim, melhorar a eficácia desses serviços prestados, com tomadas de decisões mais acertadas.</w:t>
      </w:r>
    </w:p>
    <w:p w:rsidR="005B0AC0" w:rsidRPr="005B0AC0" w:rsidRDefault="005B0AC0" w:rsidP="005B0AC0">
      <w:pPr>
        <w:pStyle w:val="NormalWeb"/>
        <w:ind w:firstLine="708"/>
        <w:jc w:val="both"/>
        <w:rPr>
          <w:color w:val="000000"/>
        </w:rPr>
      </w:pPr>
      <w:r w:rsidRPr="005B0AC0">
        <w:rPr>
          <w:color w:val="000000"/>
        </w:rPr>
        <w:t>Outro fator importante para o uso do sistema de custeio é para destacar a paridade no setor público e também para impedir o desperdício através do controle das ações tomadas, evitando a escolha de critérios unicamente políticos.</w:t>
      </w:r>
    </w:p>
    <w:p w:rsidR="005B0AC0" w:rsidRPr="005B0AC0" w:rsidRDefault="005B0AC0" w:rsidP="005B0AC0">
      <w:pPr>
        <w:pStyle w:val="NormalWeb"/>
        <w:ind w:firstLine="708"/>
        <w:jc w:val="both"/>
        <w:rPr>
          <w:color w:val="000000"/>
        </w:rPr>
      </w:pPr>
      <w:r>
        <w:rPr>
          <w:color w:val="000000"/>
        </w:rPr>
        <w:t>O s</w:t>
      </w:r>
      <w:r w:rsidRPr="005B0AC0">
        <w:rPr>
          <w:color w:val="000000"/>
        </w:rPr>
        <w:t xml:space="preserve">istema de </w:t>
      </w:r>
      <w:r>
        <w:rPr>
          <w:color w:val="000000"/>
        </w:rPr>
        <w:t>c</w:t>
      </w:r>
      <w:r w:rsidRPr="005B0AC0">
        <w:rPr>
          <w:color w:val="000000"/>
        </w:rPr>
        <w:t xml:space="preserve">ustos deve gerar dados precisos e corretos através da interpretação e análise da contabilidade, pois esses dados serão utilizados nas tomadas de decisões da administração pública, o que influenciará na estabilidade econômica e na saúde financeira da organização, além de mensurar e avaliar o desempenho de programas e projetos governamentais. Isso só é possível pelo fato de o </w:t>
      </w:r>
      <w:r>
        <w:rPr>
          <w:color w:val="000000"/>
        </w:rPr>
        <w:t>sistema de c</w:t>
      </w:r>
      <w:r w:rsidRPr="005B0AC0">
        <w:rPr>
          <w:color w:val="000000"/>
        </w:rPr>
        <w:t>usteio ser parecido com um centro processador de informações.</w:t>
      </w:r>
    </w:p>
    <w:p w:rsidR="005B0AC0" w:rsidRPr="005B0AC0" w:rsidRDefault="005B0AC0" w:rsidP="005B0AC0">
      <w:pPr>
        <w:pStyle w:val="NormalWeb"/>
        <w:ind w:firstLine="708"/>
        <w:jc w:val="both"/>
        <w:rPr>
          <w:color w:val="000000"/>
        </w:rPr>
      </w:pPr>
      <w:r w:rsidRPr="005B0AC0">
        <w:rPr>
          <w:color w:val="000000"/>
        </w:rPr>
        <w:t xml:space="preserve">Um dos principais objetivos da </w:t>
      </w:r>
      <w:r>
        <w:rPr>
          <w:color w:val="000000"/>
        </w:rPr>
        <w:t>c</w:t>
      </w:r>
      <w:r w:rsidRPr="005B0AC0">
        <w:rPr>
          <w:color w:val="000000"/>
        </w:rPr>
        <w:t xml:space="preserve">ontabilidade de </w:t>
      </w:r>
      <w:r>
        <w:rPr>
          <w:color w:val="000000"/>
        </w:rPr>
        <w:t>c</w:t>
      </w:r>
      <w:r w:rsidRPr="005B0AC0">
        <w:rPr>
          <w:color w:val="000000"/>
        </w:rPr>
        <w:t xml:space="preserve">ustos, é reduzir gastos desnecessários que não são relevantes à população, são apenas vontades próprias do </w:t>
      </w:r>
      <w:r w:rsidR="00F16798" w:rsidRPr="005B0AC0">
        <w:rPr>
          <w:color w:val="000000"/>
        </w:rPr>
        <w:t>político.</w:t>
      </w:r>
      <w:r w:rsidR="00F16798">
        <w:rPr>
          <w:color w:val="000000"/>
        </w:rPr>
        <w:t xml:space="preserve"> </w:t>
      </w:r>
      <w:r w:rsidR="00F16798">
        <w:rPr>
          <w:color w:val="000000"/>
        </w:rPr>
        <w:lastRenderedPageBreak/>
        <w:t>O sistema de c</w:t>
      </w:r>
      <w:r w:rsidRPr="005B0AC0">
        <w:rPr>
          <w:color w:val="000000"/>
        </w:rPr>
        <w:t>usteio deve melhorar a qualidade dos gastos públicos, não apenas cortando gastos, mas tornando a gestão pública eficiente capaz de estimar os custos do serviço público.</w:t>
      </w:r>
    </w:p>
    <w:p w:rsidR="005B0AC0" w:rsidRPr="005B0AC0" w:rsidRDefault="005B0AC0" w:rsidP="005B0AC0">
      <w:pPr>
        <w:pStyle w:val="NormalWeb"/>
        <w:ind w:firstLine="708"/>
        <w:jc w:val="both"/>
        <w:rPr>
          <w:color w:val="000000"/>
        </w:rPr>
      </w:pPr>
      <w:r w:rsidRPr="005B0AC0">
        <w:rPr>
          <w:color w:val="000000"/>
        </w:rPr>
        <w:t>É preciso alcançar uma melhoria no desempenho das organizações governamentais, para isso, a gestão pública deve contar com informa</w:t>
      </w:r>
      <w:r w:rsidR="00F16798">
        <w:rPr>
          <w:color w:val="000000"/>
        </w:rPr>
        <w:t>ções precisas, produzidas pela contabilidade de c</w:t>
      </w:r>
      <w:r w:rsidRPr="005B0AC0">
        <w:rPr>
          <w:color w:val="000000"/>
        </w:rPr>
        <w:t>ustos. Essas informações ajudam no desempenho, planejamento e controle das operações e de tomada de decisões de uma entidade.</w:t>
      </w:r>
    </w:p>
    <w:p w:rsidR="00AC79BA" w:rsidRDefault="005B0AC0" w:rsidP="00AC79BA">
      <w:pPr>
        <w:pStyle w:val="NormalWeb"/>
        <w:ind w:firstLine="708"/>
        <w:jc w:val="both"/>
        <w:rPr>
          <w:color w:val="000000"/>
        </w:rPr>
      </w:pPr>
      <w:r w:rsidRPr="005B0AC0">
        <w:rPr>
          <w:color w:val="000000"/>
        </w:rPr>
        <w:t>As ações gerenciais devem ser, por parte dos administradores, eficientes e eficazes, sendo importante buscar soluções simples e aumentar os esforços desenvolvidos e, ainda assim, permitindo viabilizar as informaçõe</w:t>
      </w:r>
      <w:r w:rsidR="00F16798">
        <w:rPr>
          <w:color w:val="000000"/>
        </w:rPr>
        <w:t>s necessárias. E, para isso, o sistema de c</w:t>
      </w:r>
      <w:r w:rsidRPr="005B0AC0">
        <w:rPr>
          <w:color w:val="000000"/>
        </w:rPr>
        <w:t>ustos é imprescindível ao gestor público, pois com ele torna-se possível calcular os desperdícios ou a melhor aplicação de recursos no setor e se estão gerando benefícios à população.</w:t>
      </w:r>
    </w:p>
    <w:p w:rsidR="00AC79BA" w:rsidRPr="00AC79BA" w:rsidRDefault="00AC79BA" w:rsidP="00AC79BA">
      <w:pPr>
        <w:pStyle w:val="NormalWeb"/>
        <w:ind w:firstLine="708"/>
        <w:jc w:val="both"/>
        <w:rPr>
          <w:color w:val="000000"/>
        </w:rPr>
      </w:pPr>
    </w:p>
    <w:p w:rsidR="0036364D" w:rsidRPr="00E30FA6" w:rsidRDefault="00E30FA6" w:rsidP="00E30FA6">
      <w:pPr>
        <w:spacing w:after="120"/>
        <w:jc w:val="both"/>
        <w:rPr>
          <w:rFonts w:ascii="Times New Roman" w:hAnsi="Times New Roman"/>
          <w:b/>
          <w:sz w:val="24"/>
          <w:szCs w:val="24"/>
        </w:rPr>
      </w:pPr>
      <w:proofErr w:type="gramStart"/>
      <w:r>
        <w:rPr>
          <w:rFonts w:ascii="Times New Roman" w:hAnsi="Times New Roman"/>
          <w:b/>
          <w:sz w:val="24"/>
          <w:szCs w:val="24"/>
        </w:rPr>
        <w:t>2</w:t>
      </w:r>
      <w:proofErr w:type="gramEnd"/>
      <w:r>
        <w:rPr>
          <w:rFonts w:ascii="Times New Roman" w:hAnsi="Times New Roman"/>
          <w:b/>
          <w:sz w:val="24"/>
          <w:szCs w:val="24"/>
        </w:rPr>
        <w:t xml:space="preserve">          </w:t>
      </w:r>
      <w:r w:rsidR="00277541" w:rsidRPr="00E30FA6">
        <w:rPr>
          <w:rFonts w:ascii="Times New Roman" w:hAnsi="Times New Roman"/>
          <w:b/>
          <w:sz w:val="24"/>
          <w:szCs w:val="24"/>
        </w:rPr>
        <w:t>Gestão do Conhecimento</w:t>
      </w:r>
    </w:p>
    <w:p w:rsidR="00DF3BDD" w:rsidRPr="00350398" w:rsidRDefault="00350398" w:rsidP="00350398">
      <w:pPr>
        <w:spacing w:after="120"/>
        <w:ind w:firstLine="708"/>
        <w:jc w:val="both"/>
        <w:rPr>
          <w:rFonts w:ascii="Times New Roman" w:hAnsi="Times New Roman"/>
          <w:b/>
          <w:sz w:val="24"/>
          <w:szCs w:val="24"/>
        </w:rPr>
      </w:pPr>
      <w:r w:rsidRPr="00350398">
        <w:rPr>
          <w:rFonts w:ascii="Times New Roman" w:hAnsi="Times New Roman"/>
          <w:color w:val="000000"/>
          <w:sz w:val="24"/>
          <w:szCs w:val="24"/>
        </w:rPr>
        <w:t>Segundo</w:t>
      </w:r>
      <w:r w:rsidRPr="00350398">
        <w:rPr>
          <w:rFonts w:ascii="Times New Roman" w:hAnsi="Times New Roman"/>
          <w:color w:val="000000"/>
          <w:sz w:val="24"/>
          <w:szCs w:val="24"/>
        </w:rPr>
        <w:t xml:space="preserve"> </w:t>
      </w:r>
      <w:r w:rsidRPr="00350398">
        <w:rPr>
          <w:rFonts w:ascii="Times New Roman" w:hAnsi="Times New Roman"/>
          <w:sz w:val="24"/>
          <w:szCs w:val="24"/>
        </w:rPr>
        <w:fldChar w:fldCharType="begin" w:fldLock="1"/>
      </w:r>
      <w:r w:rsidRPr="00350398">
        <w:rPr>
          <w:rFonts w:ascii="Times New Roman" w:hAnsi="Times New Roman"/>
          <w:sz w:val="24"/>
          <w:szCs w:val="24"/>
        </w:rPr>
        <w:instrText>ADDIN CSL_CITATION { "citationItems" : [ { "id" : "ITEM-1", "itemData" : { "DOI" : "10.1007/s11187-017-9843-0", "ISBN" : "1118701798", "ISSN" : "0921-898X", "abstract" : "We estimate the impact of a differential treatment of paid employees versus self-employed workers in a public health insurance system on the entry rate into entrepreneurship. In Germany, the public health insurance system is mandatory for most paid employees, but not for the self- employed, who usually buy private health insurance. Private health insurance contributions are relatively low for the young and healthy, and until 2013 also for males, but less attractive at the other ends of these dimensions and if membership in the public health insurance allows other family members to be covered by contribution-free family insurance. Therefore, the health insurance system can create incentives or disincentives to starting up a business depending on the family\u2019s situation and health. We estimate a discrete time hazard rate model of entrepreneurial entry based on representative household panel data for Germany, which include personal health information, and we account for non-random sample selection. We estimate that an increase in the health insurance cost differential between self-employed workers and paid employees by 100 euro per month decreases the annual probability of entry into self- employment by 0.38 percentage points, i.e. about a third of the average annual entry rate. The results show that the phenomenon of entrepreneurship lock, which an emerging literature describes for the system of employer provided health insurance in the USA, can also occur in a public health insurance system. Therefore, entrepreneurial activity should be taken into account when discussing potential health care reforms, not only in the USA and in Germany.", "author" : [ { "dropping-particle" : "", "family" : "Fossen", "given" : "Frank", "non-dropping-particle" : "", "parse-names" : false, "suffix" : "" }, { "dropping-particle" : "", "family" : "K\u00f6nig", "given" : "Johannes", "non-dropping-particle" : "", "parse-names" : false, "suffix" : "" } ], "id" : "ITEM-1", "issued" : { "date-parts" : [ [ "2015" ] ] }, "page" : "647-669", "publisher" : "Small Business Economics", "title" : "Public health insurance and entry into self employment", "type" : "article-journal" }, "uris" : [ "http://www.mendeley.com/documents/?uuid=d6e43b4d-8227-4f14-bb92-7fdb01f8cd5a" ] } ], "mendeley" : { "formattedCitation" : "(Fossen &amp; K\u00f6nig, 2015)", "plainTextFormattedCitation" : "(Fossen &amp; K\u00f6nig, 2015)", "previouslyFormattedCitation" : "(Fossen &amp; K\u00f6nig, 2015)" }, "properties" : { "noteIndex" : 1 }, "schema" : "https://github.com/citation-style-language/schema/raw/master/csl-citation.json" }</w:instrText>
      </w:r>
      <w:r w:rsidRPr="00350398">
        <w:rPr>
          <w:rFonts w:ascii="Times New Roman" w:hAnsi="Times New Roman"/>
          <w:sz w:val="24"/>
          <w:szCs w:val="24"/>
        </w:rPr>
        <w:fldChar w:fldCharType="separate"/>
      </w:r>
      <w:r w:rsidRPr="00350398">
        <w:rPr>
          <w:rFonts w:ascii="Times New Roman" w:hAnsi="Times New Roman"/>
          <w:noProof/>
          <w:sz w:val="24"/>
          <w:szCs w:val="24"/>
        </w:rPr>
        <w:t>(Fossen &amp; König, 2015)</w:t>
      </w:r>
      <w:r w:rsidRPr="00350398">
        <w:rPr>
          <w:rFonts w:ascii="Times New Roman" w:hAnsi="Times New Roman"/>
          <w:sz w:val="24"/>
          <w:szCs w:val="24"/>
        </w:rPr>
        <w:fldChar w:fldCharType="end"/>
      </w:r>
      <w:r w:rsidRPr="00350398">
        <w:rPr>
          <w:rFonts w:ascii="Times New Roman" w:hAnsi="Times New Roman"/>
          <w:color w:val="000000"/>
          <w:sz w:val="24"/>
          <w:szCs w:val="24"/>
        </w:rPr>
        <w:t xml:space="preserve">, o empreendedorismo deve ter um papel relevante diante das reformas propostas pelo setor público, como </w:t>
      </w:r>
      <w:proofErr w:type="gramStart"/>
      <w:r w:rsidRPr="00350398">
        <w:rPr>
          <w:rFonts w:ascii="Times New Roman" w:hAnsi="Times New Roman"/>
          <w:color w:val="000000"/>
          <w:sz w:val="24"/>
          <w:szCs w:val="24"/>
        </w:rPr>
        <w:t>por exemplo</w:t>
      </w:r>
      <w:proofErr w:type="gramEnd"/>
      <w:r w:rsidRPr="00350398">
        <w:rPr>
          <w:rFonts w:ascii="Times New Roman" w:hAnsi="Times New Roman"/>
          <w:color w:val="000000"/>
          <w:sz w:val="24"/>
          <w:szCs w:val="24"/>
        </w:rPr>
        <w:t xml:space="preserve"> a reforma da saúde, dos cuidados da saúde. Com isso também pode ter uma relação entre um sistema público de seguro de saúde com um sistema ofertado pelo empregador de seguro de saúde. Com isso, se houver um bloqueio do empreendedorismo, este pode afetar não somente o seguro de saúde oferecido pelo patrão como também o sistema de seguro público de saúde. Portanto, é de fundamental importância considerar o empreendedorismo quando se discute reformas públicas.</w:t>
      </w:r>
      <w:r w:rsidRPr="00350398">
        <w:rPr>
          <w:rFonts w:ascii="Times New Roman" w:hAnsi="Times New Roman"/>
          <w:b/>
          <w:sz w:val="24"/>
          <w:szCs w:val="24"/>
        </w:rPr>
        <w:t xml:space="preserve"> </w:t>
      </w:r>
    </w:p>
    <w:p w:rsidR="00C11968" w:rsidRPr="00350398" w:rsidRDefault="00350398" w:rsidP="00350398">
      <w:pPr>
        <w:pStyle w:val="NormalWeb"/>
        <w:ind w:firstLine="708"/>
        <w:rPr>
          <w:color w:val="000000"/>
        </w:rPr>
      </w:pPr>
      <w:r w:rsidRPr="00350398">
        <w:rPr>
          <w:color w:val="000000"/>
        </w:rPr>
        <w:t>O</w:t>
      </w:r>
      <w:r w:rsidRPr="00350398">
        <w:rPr>
          <w:color w:val="000000"/>
        </w:rPr>
        <w:t xml:space="preserve"> SROI, retorno social ao investimento, é uma importante abordagem global para o setor público, permitindo avaliar o valor obtido pela atividade humana. O SROI permite a delimitação de áreas para o desenvolvimento futuro.</w:t>
      </w:r>
      <w:r>
        <w:rPr>
          <w:color w:val="000000"/>
        </w:rPr>
        <w:t xml:space="preserve"> </w:t>
      </w:r>
      <w:r w:rsidRPr="00350398">
        <w:rPr>
          <w:color w:val="000000"/>
        </w:rPr>
        <w:t>Portanto o SROI é uma abordagem muito importante para o setor público, mostrando ao governante as mais diversas informações necessárias para contabilidade de custos do setor público, exercendo assim um bom governo.</w:t>
      </w:r>
      <w:r>
        <w:rPr>
          <w:color w:val="000000"/>
        </w:rPr>
        <w:t xml:space="preserve"> </w:t>
      </w:r>
      <w:r w:rsidR="005D0ED9" w:rsidRPr="00350398">
        <w:rPr>
          <w:shd w:val="clear" w:color="auto" w:fill="F8F8F8"/>
        </w:rPr>
        <w:fldChar w:fldCharType="begin" w:fldLock="1"/>
      </w:r>
      <w:r w:rsidR="005D0ED9" w:rsidRPr="00350398">
        <w:rPr>
          <w:shd w:val="clear" w:color="auto" w:fill="F8F8F8"/>
        </w:rPr>
        <w:instrText>ADDIN CSL_CITATION { "citationItems" : [ { "id" : "ITEM-1", "itemData" : { "DOI" : "10.1016/j.evalprogplan.2016.11.011", "ISSN" : "01497189", "abstract" : "Social return on investment (SROI) is a relatively new approach to assessing the value created by human activity. This paper explores the development of SROI since its creation in 1996 and concludes by outlining areas for future development. SROI is compared with mainstream global approaches to generating standardized information that informs resource allocation decisions, financial accounting in general, sustainability accounting in the private sector and cost benefit analysis in the public sector.", "author" : [ { "dropping-particle" : "", "family" : "Nicholls", "given" : "Jeremy", "non-dropping-particle" : "", "parse-names" : false, "suffix" : "" } ], "container-title" : "Evaluation and Program Planning", "id" : "ITEM-1", "issued" : { "date-parts" : [ [ "2017" ] ] }, "page" : "127-135", "publisher" : "Elsevier Ltd", "title" : "Social return on investment\u2014Development and convergence", "type" : "article-journal", "volume" : "64" }, "uris" : [ "http://www.mendeley.com/documents/?uuid=54ce5e41-ffdc-4127-83b2-53fb425ee946" ] } ], "mendeley" : { "formattedCitation" : "(Nicholls, 2017)", "plainTextFormattedCitation" : "(Nicholls, 2017)", "previouslyFormattedCitation" : "(Nicholls, 2017)" }, "properties" : { "noteIndex" : 1 }, "schema" : "https://github.com/citation-style-language/schema/raw/master/csl-citation.json" }</w:instrText>
      </w:r>
      <w:r w:rsidR="005D0ED9" w:rsidRPr="00350398">
        <w:rPr>
          <w:shd w:val="clear" w:color="auto" w:fill="F8F8F8"/>
        </w:rPr>
        <w:fldChar w:fldCharType="separate"/>
      </w:r>
      <w:r w:rsidR="005D0ED9" w:rsidRPr="00350398">
        <w:rPr>
          <w:noProof/>
          <w:shd w:val="clear" w:color="auto" w:fill="F8F8F8"/>
        </w:rPr>
        <w:t>(Nicholls, 2017)</w:t>
      </w:r>
      <w:r w:rsidR="005D0ED9" w:rsidRPr="00350398">
        <w:rPr>
          <w:shd w:val="clear" w:color="auto" w:fill="F8F8F8"/>
        </w:rPr>
        <w:fldChar w:fldCharType="end"/>
      </w:r>
    </w:p>
    <w:p w:rsidR="005D0ED9" w:rsidRPr="00AC79BA" w:rsidRDefault="00350398" w:rsidP="00350398">
      <w:pPr>
        <w:spacing w:after="120"/>
        <w:ind w:firstLine="708"/>
        <w:jc w:val="both"/>
        <w:rPr>
          <w:rFonts w:ascii="Times New Roman" w:hAnsi="Times New Roman"/>
          <w:sz w:val="24"/>
          <w:szCs w:val="24"/>
          <w:shd w:val="clear" w:color="auto" w:fill="F8F8F8"/>
        </w:rPr>
      </w:pPr>
      <w:r w:rsidRPr="00350398">
        <w:rPr>
          <w:rFonts w:ascii="Times New Roman" w:hAnsi="Times New Roman"/>
          <w:color w:val="000000"/>
          <w:sz w:val="24"/>
          <w:szCs w:val="24"/>
        </w:rPr>
        <w:t xml:space="preserve">De acordo com </w:t>
      </w:r>
      <w:r w:rsidRPr="00350398">
        <w:rPr>
          <w:rFonts w:ascii="Times New Roman" w:hAnsi="Times New Roman"/>
          <w:sz w:val="24"/>
          <w:szCs w:val="24"/>
          <w:shd w:val="clear" w:color="auto" w:fill="F8F8F8"/>
        </w:rPr>
        <w:fldChar w:fldCharType="begin" w:fldLock="1"/>
      </w:r>
      <w:r w:rsidRPr="00350398">
        <w:rPr>
          <w:rFonts w:ascii="Times New Roman" w:hAnsi="Times New Roman"/>
          <w:sz w:val="24"/>
          <w:szCs w:val="24"/>
          <w:shd w:val="clear" w:color="auto" w:fill="F8F8F8"/>
        </w:rPr>
        <w:instrText>ADDIN CSL_CITATION { "citationItems" : [ { "id" : "ITEM-1", "itemData" : { "DOI" : "10.1680/jtran.14.00084", "ISBN" : "0000000159", "ISSN" : "17517710", "abstract" : "\u00a9 2017, Thomas Telford Services Ltd. All Rights Reserved. The cost-efficiency of public transport systems is a helpful measure for regulators to establish an effective subsidy mechanism. This study presents a cost-efficiency measurement model of bus routes based on stochastic frontier analysis, taking into account not only heterogeneous outputs but also operating environment factors. In addition, four new operating environment factors that can affect the efficiency of bus routes are introduced. An empirical analysis, based on 39 routes operating in Jiangyin City, China, is presented. It was found that vehicle kilometres have a bigger impact on total operating costs than other parameters such as fixed inputs and fuel price. Operating environment factors such as average bus stop density and the percentage of bus lanes have significant influences on cost-inefficiency differentials. Furthermore, the measurement of cost-efficiency enables identification of the difference between actual total operating costs and efficient total operating costs at a bus route level. The proposed approach could support regulators in setting reasonable cost benchmarks based on efficient total operating costs.", "author" : [ { "dropping-particle" : "", "family" : "Zhu", "given" : "W.", "non-dropping-particle" : "", "parse-names" : false, "suffix" : "" }, { "dropping-particle" : "", "family" : "Yang", "given" : "X.", "non-dropping-particle" : "", "parse-names" : false, "suffix" : "" }, { "dropping-particle" : "", "family" : "Ge", "given" : "H.", "non-dropping-particle" : "", "parse-names" : false, "suffix" : "" }, { "dropping-particle" : "", "family" : "Xie", "given" : "B.", "non-dropping-particle" : "", "parse-names" : false, "suffix" : "" } ], "container-title" : "Proceedings of the Institution of Civil Engineers: Transport", "id" : "ITEM-1", "issue" : "4", "issued" : { "date-parts" : [ [ "2017" ] ] }, "title" : "Cost-efficiency of buses using stochastic frontier analysis", "type" : "article-journal", "volume" : "170" }, "uris" : [ "http://www.mendeley.com/documents/?uuid=c94640c2-f59d-4712-922c-67f1d99bd217" ] } ], "mendeley" : { "formattedCitation" : "(Zhu, Yang, Ge, &amp; Xie, 2017)", "plainTextFormattedCitation" : "(Zhu, Yang, Ge, &amp; Xie, 2017)", "previouslyFormattedCitation" : "(Zhu, Yang, Ge, &amp; Xie, 2017)" }, "properties" : { "noteIndex" : 1 }, "schema" : "https://github.com/citation-style-language/schema/raw/master/csl-citation.json" }</w:instrText>
      </w:r>
      <w:r w:rsidRPr="00350398">
        <w:rPr>
          <w:rFonts w:ascii="Times New Roman" w:hAnsi="Times New Roman"/>
          <w:sz w:val="24"/>
          <w:szCs w:val="24"/>
          <w:shd w:val="clear" w:color="auto" w:fill="F8F8F8"/>
        </w:rPr>
        <w:fldChar w:fldCharType="separate"/>
      </w:r>
      <w:r w:rsidRPr="00350398">
        <w:rPr>
          <w:rFonts w:ascii="Times New Roman" w:hAnsi="Times New Roman"/>
          <w:noProof/>
          <w:sz w:val="24"/>
          <w:szCs w:val="24"/>
          <w:shd w:val="clear" w:color="auto" w:fill="F8F8F8"/>
        </w:rPr>
        <w:t>(Zhu, Yang, Ge, &amp; Xie, 2017)</w:t>
      </w:r>
      <w:r w:rsidRPr="00350398">
        <w:rPr>
          <w:rFonts w:ascii="Times New Roman" w:hAnsi="Times New Roman"/>
          <w:sz w:val="24"/>
          <w:szCs w:val="24"/>
          <w:shd w:val="clear" w:color="auto" w:fill="F8F8F8"/>
        </w:rPr>
        <w:fldChar w:fldCharType="end"/>
      </w:r>
      <w:r w:rsidRPr="00350398">
        <w:rPr>
          <w:rFonts w:ascii="Times New Roman" w:hAnsi="Times New Roman"/>
          <w:color w:val="000000"/>
          <w:sz w:val="24"/>
          <w:szCs w:val="24"/>
        </w:rPr>
        <w:t xml:space="preserve">, para identificar a diferença entre custos operacionais totais reais e os totais eficientes é necessária </w:t>
      </w:r>
      <w:proofErr w:type="gramStart"/>
      <w:r w:rsidRPr="00350398">
        <w:rPr>
          <w:rFonts w:ascii="Times New Roman" w:hAnsi="Times New Roman"/>
          <w:color w:val="000000"/>
          <w:sz w:val="24"/>
          <w:szCs w:val="24"/>
        </w:rPr>
        <w:t>a</w:t>
      </w:r>
      <w:proofErr w:type="gramEnd"/>
      <w:r w:rsidRPr="00350398">
        <w:rPr>
          <w:rFonts w:ascii="Times New Roman" w:hAnsi="Times New Roman"/>
          <w:color w:val="000000"/>
          <w:sz w:val="24"/>
          <w:szCs w:val="24"/>
        </w:rPr>
        <w:t xml:space="preserve"> medida de custo eficiência. Para tanto há alguns fatores com influências significativas no custo-ineficiência, como ambiente operacional, densidade média de parada e porcentagem de pistas, usando como exemplo o sistema de transporte público. Portanto há vários fatores que contribuem e interferem para rentabilidade do sistema e seus custos. Com isso, para definição de benchmarks com custos razoáveis, é </w:t>
      </w:r>
      <w:proofErr w:type="gramStart"/>
      <w:r w:rsidRPr="00350398">
        <w:rPr>
          <w:rFonts w:ascii="Times New Roman" w:hAnsi="Times New Roman"/>
          <w:color w:val="000000"/>
          <w:sz w:val="24"/>
          <w:szCs w:val="24"/>
        </w:rPr>
        <w:t>necessário</w:t>
      </w:r>
      <w:proofErr w:type="gramEnd"/>
      <w:r w:rsidRPr="00350398">
        <w:rPr>
          <w:rFonts w:ascii="Times New Roman" w:hAnsi="Times New Roman"/>
          <w:color w:val="000000"/>
          <w:sz w:val="24"/>
          <w:szCs w:val="24"/>
        </w:rPr>
        <w:t xml:space="preserve"> uma base com custos operacionais totais eficientes.</w:t>
      </w:r>
      <w:r w:rsidRPr="00AC79BA">
        <w:rPr>
          <w:rFonts w:ascii="Times New Roman" w:hAnsi="Times New Roman"/>
          <w:sz w:val="24"/>
          <w:szCs w:val="24"/>
          <w:shd w:val="clear" w:color="auto" w:fill="F8F8F8"/>
        </w:rPr>
        <w:t xml:space="preserve"> </w:t>
      </w:r>
    </w:p>
    <w:p w:rsidR="00E21D2A" w:rsidRPr="00350398" w:rsidRDefault="00350398" w:rsidP="00107583">
      <w:pPr>
        <w:spacing w:after="120"/>
        <w:ind w:firstLine="708"/>
        <w:jc w:val="both"/>
        <w:rPr>
          <w:rFonts w:ascii="Times New Roman" w:hAnsi="Times New Roman"/>
          <w:sz w:val="24"/>
          <w:szCs w:val="24"/>
        </w:rPr>
      </w:pPr>
      <w:r w:rsidRPr="00350398">
        <w:rPr>
          <w:rFonts w:ascii="Times New Roman" w:hAnsi="Times New Roman"/>
          <w:color w:val="000000"/>
          <w:sz w:val="24"/>
          <w:szCs w:val="24"/>
        </w:rPr>
        <w:t>Um</w:t>
      </w:r>
      <w:r w:rsidRPr="00350398">
        <w:rPr>
          <w:rFonts w:ascii="Times New Roman" w:hAnsi="Times New Roman"/>
          <w:color w:val="000000"/>
          <w:sz w:val="24"/>
          <w:szCs w:val="24"/>
        </w:rPr>
        <w:t xml:space="preserve"> dos principais e mais importantes motores econômicos são os recursos humanos para a saúde (RHS). Em um sistema de saúde, estes são os insumos mais críticos. Em um momento de recessão global, onde o governo lida com austeridade dos recursos humanos para a saúde, isso se torna um importante fator para modificar ou </w:t>
      </w:r>
      <w:proofErr w:type="gramStart"/>
      <w:r w:rsidRPr="00350398">
        <w:rPr>
          <w:rFonts w:ascii="Times New Roman" w:hAnsi="Times New Roman"/>
          <w:color w:val="000000"/>
          <w:sz w:val="24"/>
          <w:szCs w:val="24"/>
        </w:rPr>
        <w:t>implementar</w:t>
      </w:r>
      <w:proofErr w:type="gramEnd"/>
      <w:r w:rsidRPr="00350398">
        <w:rPr>
          <w:rFonts w:ascii="Times New Roman" w:hAnsi="Times New Roman"/>
          <w:color w:val="000000"/>
          <w:sz w:val="24"/>
          <w:szCs w:val="24"/>
        </w:rPr>
        <w:t xml:space="preserve"> questões políticas relacionadas a saúde. O momento econômico possibilita o sucesso ou fracasso na busca de obj</w:t>
      </w:r>
      <w:bookmarkStart w:id="0" w:name="_GoBack"/>
      <w:bookmarkEnd w:id="0"/>
      <w:r w:rsidRPr="00350398">
        <w:rPr>
          <w:rFonts w:ascii="Times New Roman" w:hAnsi="Times New Roman"/>
          <w:color w:val="000000"/>
          <w:sz w:val="24"/>
          <w:szCs w:val="24"/>
        </w:rPr>
        <w:t xml:space="preserve">etivos políticos. Portanto, dependendo do momento econômico que vivemos, podemos </w:t>
      </w:r>
      <w:r w:rsidRPr="00350398">
        <w:rPr>
          <w:rFonts w:ascii="Times New Roman" w:hAnsi="Times New Roman"/>
          <w:color w:val="000000"/>
          <w:sz w:val="24"/>
          <w:szCs w:val="24"/>
        </w:rPr>
        <w:lastRenderedPageBreak/>
        <w:t>atingir objetivos políticos ou fracassar ao buscá-lo. Com isso o setor público depende muito do momento global para tomar decisões importantes.</w:t>
      </w:r>
      <w:r w:rsidR="004527F0">
        <w:rPr>
          <w:rFonts w:ascii="Times New Roman" w:hAnsi="Times New Roman"/>
          <w:color w:val="000000"/>
          <w:sz w:val="24"/>
          <w:szCs w:val="24"/>
        </w:rPr>
        <w:t xml:space="preserve"> </w:t>
      </w:r>
      <w:r w:rsidR="00877EC3" w:rsidRPr="00350398">
        <w:rPr>
          <w:rFonts w:ascii="Times New Roman" w:hAnsi="Times New Roman"/>
          <w:sz w:val="24"/>
          <w:szCs w:val="24"/>
        </w:rPr>
        <w:fldChar w:fldCharType="begin" w:fldLock="1"/>
      </w:r>
      <w:r w:rsidR="00877EC3" w:rsidRPr="00350398">
        <w:rPr>
          <w:rFonts w:ascii="Times New Roman" w:hAnsi="Times New Roman"/>
          <w:sz w:val="24"/>
          <w:szCs w:val="24"/>
        </w:rPr>
        <w:instrText>ADDIN CSL_CITATION { "citationItems" : [ { "id" : "ITEM-1", "itemData" : { "DOI" : "10.1186/s12960-017-0230-3", "ISSN" : "1478-4491", "abstract" : "The global economic crisis saw recessionary conditions in most EU countries. Ireland\u2019s severe recession produced pro-cyclical health spending cuts. Yet, human resources for health (HRH) are the most critical of inputs into a health system and an important economic driver. The aim of this article is to evaluate how the Irish health system coped with austerity in relation to HRH and whether austerity allowed and/or facilitated the implementation of HRH policy. The authors employed a quantitative longitudinal trend analysis over the period 2008 to 2014 with Health Service Executive (HSE) staff database as the principal source. For the purpose of this study, heath service employment is defined as directly employed whole-time equivalent public service staffing in the HSE and other government agencies. The authors also examined the heath sector pay bill and sought to establish linkages between the main staff database and pay expenditure, as given in the HSE Annual Accounts and Financial Statements (AFS), and key HRH policies. The actual cut in total whole-time equivalent (WTE) of directly employed health services human resources over the period 2008 to 2014 was 8027 WTE, a reduction of 7.2% but substantially less than government claims. There was a degree of relative protection for frontline staffing decreasing by 2.9% between 2008 and 2014 and far less than the 18.5% reduction in other staff. Staff exempted from the general moratorium also increased by a combined 12.6%. Counter to stated policy, the decline in staffing of non-acute care was over double than in acute care. Further, the reduction in directly employed staff was to a great extent matched by a marked increase in agency spending. The cuts forced substantial HRH reductions and yet there was some success in pursuing policy goals, such as increasing the frontline workforce while reducing support staff and protection of some cadres. Nevertheless, other policies failed such as moving staff away from acute settings and the claimed financial savings were substantially offset by overtime payments \ufeffand the need to hire more expensive agency workers. There was also substantial demotivation of staff as a consequence of the changes.", "author" : [ { "dropping-particle" : "", "family" : "Williams", "given" : "Des", "non-dropping-particle" : "", "parse-names" : false, "suffix" : "" }, { "dropping-particle" : "", "family" : "Thomas", "given" : "Steve", "non-dropping-particle" : "", "parse-names" : false, "suffix" : "" } ], "container-title" : "Human Resources for Health", "id" : "ITEM-1", "issue" : "1", "issued" : { "date-parts" : [ [ "2017" ] ] }, "page" : "62", "publisher" : "Human Resources for Health", "title" : "The impact of austerity on the health workforce and the achievement of human resources for health policies in Ireland (2008\u20132014)", "type" : "article-journal", "volume" : "15" }, "uris" : [ "http://www.mendeley.com/documents/?uuid=ad1fd42f-a58c-41c0-8f29-08cdb29fa518" ] } ], "mendeley" : { "formattedCitation" : "(Williams &amp; Thomas, 2017)", "plainTextFormattedCitation" : "(Williams &amp; Thomas, 2017)", "previouslyFormattedCitation" : "(Williams &amp; Thomas, 2017)" }, "properties" : { "noteIndex" : 1 }, "schema" : "https://github.com/citation-style-language/schema/raw/master/csl-citation.json" }</w:instrText>
      </w:r>
      <w:r w:rsidR="00877EC3" w:rsidRPr="00350398">
        <w:rPr>
          <w:rFonts w:ascii="Times New Roman" w:hAnsi="Times New Roman"/>
          <w:sz w:val="24"/>
          <w:szCs w:val="24"/>
        </w:rPr>
        <w:fldChar w:fldCharType="separate"/>
      </w:r>
      <w:r w:rsidR="00877EC3" w:rsidRPr="00350398">
        <w:rPr>
          <w:rFonts w:ascii="Times New Roman" w:hAnsi="Times New Roman"/>
          <w:noProof/>
          <w:sz w:val="24"/>
          <w:szCs w:val="24"/>
        </w:rPr>
        <w:t>(Williams &amp; Thomas, 2017)</w:t>
      </w:r>
      <w:r w:rsidR="00877EC3" w:rsidRPr="00350398">
        <w:rPr>
          <w:rFonts w:ascii="Times New Roman" w:hAnsi="Times New Roman"/>
          <w:sz w:val="24"/>
          <w:szCs w:val="24"/>
        </w:rPr>
        <w:fldChar w:fldCharType="end"/>
      </w:r>
    </w:p>
    <w:p w:rsidR="00107583" w:rsidRPr="00107583" w:rsidRDefault="00107583" w:rsidP="00107583">
      <w:pPr>
        <w:spacing w:after="120"/>
        <w:ind w:firstLine="708"/>
        <w:jc w:val="both"/>
        <w:rPr>
          <w:rFonts w:ascii="Times New Roman" w:hAnsi="Times New Roman"/>
          <w:sz w:val="24"/>
          <w:szCs w:val="24"/>
        </w:rPr>
      </w:pPr>
    </w:p>
    <w:p w:rsidR="00277541" w:rsidRPr="00E30FA6" w:rsidRDefault="00E30FA6" w:rsidP="00E30FA6">
      <w:pPr>
        <w:spacing w:after="120"/>
        <w:jc w:val="both"/>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Metodologia</w:t>
      </w:r>
    </w:p>
    <w:p w:rsidR="00136D21" w:rsidRPr="001271EE" w:rsidRDefault="00136D21" w:rsidP="00136D21">
      <w:pPr>
        <w:spacing w:after="120"/>
        <w:ind w:firstLine="708"/>
        <w:jc w:val="both"/>
        <w:rPr>
          <w:rFonts w:ascii="Times New Roman" w:hAnsi="Times New Roman"/>
          <w:sz w:val="24"/>
          <w:szCs w:val="24"/>
        </w:rPr>
      </w:pPr>
      <w:r w:rsidRPr="001271EE">
        <w:rPr>
          <w:rFonts w:ascii="Times New Roman" w:hAnsi="Times New Roman"/>
          <w:sz w:val="24"/>
          <w:szCs w:val="24"/>
        </w:rPr>
        <w:t xml:space="preserve">A metodologia proposta para este trabalho baseia-se na pesquisa bibliográfica e na aplicação de procedimentos da </w:t>
      </w:r>
      <w:proofErr w:type="spellStart"/>
      <w:r w:rsidRPr="001271EE">
        <w:rPr>
          <w:rFonts w:ascii="Times New Roman" w:hAnsi="Times New Roman"/>
          <w:sz w:val="24"/>
          <w:szCs w:val="24"/>
        </w:rPr>
        <w:t>bibliometria</w:t>
      </w:r>
      <w:proofErr w:type="spellEnd"/>
      <w:r w:rsidRPr="001271EE">
        <w:rPr>
          <w:rFonts w:ascii="Times New Roman" w:hAnsi="Times New Roman"/>
          <w:sz w:val="24"/>
          <w:szCs w:val="24"/>
        </w:rPr>
        <w:t>, com o objetivo de apresentar um levantamento bibliográfico e quantifi</w:t>
      </w:r>
      <w:r>
        <w:rPr>
          <w:rFonts w:ascii="Times New Roman" w:hAnsi="Times New Roman"/>
          <w:sz w:val="24"/>
          <w:szCs w:val="24"/>
        </w:rPr>
        <w:t xml:space="preserve">car a literatura internacional </w:t>
      </w:r>
      <w:r w:rsidRPr="001271EE">
        <w:rPr>
          <w:rFonts w:ascii="Times New Roman" w:hAnsi="Times New Roman"/>
          <w:sz w:val="24"/>
          <w:szCs w:val="24"/>
        </w:rPr>
        <w:t xml:space="preserve">sobre a gestão do conhecimento e </w:t>
      </w:r>
      <w:r>
        <w:rPr>
          <w:rFonts w:ascii="Times New Roman" w:hAnsi="Times New Roman"/>
          <w:sz w:val="24"/>
          <w:szCs w:val="24"/>
        </w:rPr>
        <w:t xml:space="preserve">da </w:t>
      </w:r>
      <w:r w:rsidRPr="001271EE">
        <w:rPr>
          <w:rFonts w:ascii="Times New Roman" w:hAnsi="Times New Roman"/>
          <w:sz w:val="24"/>
          <w:szCs w:val="24"/>
        </w:rPr>
        <w:t>inovação</w:t>
      </w:r>
      <w:r>
        <w:rPr>
          <w:rFonts w:ascii="Times New Roman" w:hAnsi="Times New Roman"/>
          <w:sz w:val="24"/>
          <w:szCs w:val="24"/>
        </w:rPr>
        <w:t xml:space="preserve"> no período de </w:t>
      </w:r>
      <w:r w:rsidRPr="00F6455D">
        <w:rPr>
          <w:rFonts w:ascii="Times New Roman" w:hAnsi="Times New Roman"/>
          <w:sz w:val="24"/>
          <w:szCs w:val="24"/>
        </w:rPr>
        <w:t>1991 a 2017</w:t>
      </w:r>
      <w:r w:rsidRPr="001271EE">
        <w:rPr>
          <w:rFonts w:ascii="Times New Roman" w:hAnsi="Times New Roman"/>
          <w:sz w:val="24"/>
          <w:szCs w:val="24"/>
        </w:rPr>
        <w:t>.</w:t>
      </w:r>
    </w:p>
    <w:p w:rsidR="00136D21" w:rsidRPr="001271EE" w:rsidRDefault="00136D21" w:rsidP="00136D21">
      <w:pPr>
        <w:spacing w:after="120"/>
        <w:ind w:firstLine="708"/>
        <w:jc w:val="both"/>
        <w:rPr>
          <w:rFonts w:ascii="Times New Roman" w:hAnsi="Times New Roman"/>
          <w:sz w:val="24"/>
          <w:szCs w:val="24"/>
        </w:rPr>
      </w:pPr>
      <w:r w:rsidRPr="001271EE">
        <w:rPr>
          <w:rFonts w:ascii="Times New Roman" w:hAnsi="Times New Roman"/>
          <w:sz w:val="24"/>
          <w:szCs w:val="24"/>
        </w:rPr>
        <w:t xml:space="preserve">A amostra inicial de trabalho foi obtida por meio de pesquisa na base de dados </w:t>
      </w:r>
      <w:r w:rsidRPr="001271EE">
        <w:rPr>
          <w:rFonts w:ascii="Times New Roman" w:hAnsi="Times New Roman"/>
          <w:i/>
          <w:sz w:val="24"/>
          <w:szCs w:val="24"/>
        </w:rPr>
        <w:t xml:space="preserve">ISI Web </w:t>
      </w:r>
      <w:proofErr w:type="spellStart"/>
      <w:r w:rsidRPr="001271EE">
        <w:rPr>
          <w:rFonts w:ascii="Times New Roman" w:hAnsi="Times New Roman"/>
          <w:i/>
          <w:sz w:val="24"/>
          <w:szCs w:val="24"/>
        </w:rPr>
        <w:t>of</w:t>
      </w:r>
      <w:proofErr w:type="spellEnd"/>
      <w:r w:rsidRPr="001271EE">
        <w:rPr>
          <w:rFonts w:ascii="Times New Roman" w:hAnsi="Times New Roman"/>
          <w:i/>
          <w:sz w:val="24"/>
          <w:szCs w:val="24"/>
        </w:rPr>
        <w:t xml:space="preserve"> Science</w:t>
      </w:r>
      <w:r>
        <w:rPr>
          <w:rFonts w:ascii="Times New Roman" w:hAnsi="Times New Roman"/>
          <w:sz w:val="24"/>
          <w:szCs w:val="24"/>
        </w:rPr>
        <w:t xml:space="preserve"> das palavras-chave </w:t>
      </w:r>
      <w:proofErr w:type="spellStart"/>
      <w:r w:rsidRPr="00F6455D">
        <w:rPr>
          <w:rFonts w:ascii="Times New Roman" w:hAnsi="Times New Roman"/>
          <w:i/>
          <w:sz w:val="24"/>
          <w:szCs w:val="24"/>
        </w:rPr>
        <w:t>cost</w:t>
      </w:r>
      <w:proofErr w:type="spellEnd"/>
      <w:r w:rsidRPr="00F6455D">
        <w:rPr>
          <w:rFonts w:ascii="Times New Roman" w:hAnsi="Times New Roman"/>
          <w:i/>
          <w:sz w:val="24"/>
          <w:szCs w:val="24"/>
        </w:rPr>
        <w:t xml:space="preserve"> </w:t>
      </w:r>
      <w:proofErr w:type="spellStart"/>
      <w:r w:rsidRPr="00F6455D">
        <w:rPr>
          <w:rFonts w:ascii="Times New Roman" w:hAnsi="Times New Roman"/>
          <w:i/>
          <w:sz w:val="24"/>
          <w:szCs w:val="24"/>
        </w:rPr>
        <w:t>accounting</w:t>
      </w:r>
      <w:proofErr w:type="spellEnd"/>
      <w:r w:rsidRPr="00F6455D">
        <w:rPr>
          <w:rFonts w:ascii="Times New Roman" w:hAnsi="Times New Roman"/>
          <w:sz w:val="24"/>
          <w:szCs w:val="24"/>
        </w:rPr>
        <w:t xml:space="preserve"> e </w:t>
      </w:r>
      <w:proofErr w:type="spellStart"/>
      <w:r w:rsidRPr="00F6455D">
        <w:rPr>
          <w:rFonts w:ascii="Times New Roman" w:hAnsi="Times New Roman"/>
          <w:i/>
          <w:sz w:val="24"/>
          <w:szCs w:val="24"/>
        </w:rPr>
        <w:t>public</w:t>
      </w:r>
      <w:proofErr w:type="spellEnd"/>
      <w:r w:rsidRPr="00F6455D">
        <w:rPr>
          <w:rFonts w:ascii="Times New Roman" w:hAnsi="Times New Roman"/>
          <w:i/>
          <w:sz w:val="24"/>
          <w:szCs w:val="24"/>
        </w:rPr>
        <w:t xml:space="preserve"> sector</w:t>
      </w:r>
      <w:r>
        <w:rPr>
          <w:rFonts w:ascii="Times New Roman" w:hAnsi="Times New Roman"/>
          <w:sz w:val="24"/>
          <w:szCs w:val="24"/>
        </w:rPr>
        <w:t xml:space="preserve"> e</w:t>
      </w:r>
      <w:r w:rsidRPr="001271EE">
        <w:rPr>
          <w:rFonts w:ascii="Times New Roman" w:hAnsi="Times New Roman"/>
          <w:sz w:val="24"/>
          <w:szCs w:val="24"/>
        </w:rPr>
        <w:t xml:space="preserve">, usando apenas a seleção de artigos, o que resultou em </w:t>
      </w:r>
      <w:r w:rsidR="007571E5" w:rsidRPr="00F6455D">
        <w:rPr>
          <w:rFonts w:ascii="Times New Roman" w:hAnsi="Times New Roman"/>
          <w:sz w:val="24"/>
          <w:szCs w:val="24"/>
        </w:rPr>
        <w:t>704</w:t>
      </w:r>
      <w:r w:rsidRPr="001271EE">
        <w:rPr>
          <w:rFonts w:ascii="Times New Roman" w:hAnsi="Times New Roman"/>
          <w:sz w:val="24"/>
          <w:szCs w:val="24"/>
        </w:rPr>
        <w:t xml:space="preserve"> trabalhos. Com a leitura do título e resumo, foram selecionados os mais direcionados à área de interesse, restringindo a amostra para </w:t>
      </w:r>
      <w:r w:rsidR="007571E5" w:rsidRPr="00F6455D">
        <w:rPr>
          <w:rFonts w:ascii="Times New Roman" w:hAnsi="Times New Roman"/>
          <w:sz w:val="24"/>
          <w:szCs w:val="24"/>
        </w:rPr>
        <w:t>416</w:t>
      </w:r>
      <w:r w:rsidRPr="001271EE">
        <w:rPr>
          <w:rFonts w:ascii="Times New Roman" w:hAnsi="Times New Roman"/>
          <w:sz w:val="24"/>
          <w:szCs w:val="24"/>
        </w:rPr>
        <w:t xml:space="preserve"> artigos. </w:t>
      </w:r>
    </w:p>
    <w:p w:rsidR="00136D21" w:rsidRPr="001271EE" w:rsidRDefault="00136D21" w:rsidP="00136D21">
      <w:pPr>
        <w:spacing w:after="120"/>
        <w:ind w:firstLine="708"/>
        <w:jc w:val="both"/>
        <w:rPr>
          <w:rFonts w:ascii="Times New Roman" w:hAnsi="Times New Roman"/>
          <w:sz w:val="24"/>
          <w:szCs w:val="24"/>
        </w:rPr>
      </w:pPr>
      <w:r w:rsidRPr="001271EE">
        <w:rPr>
          <w:rFonts w:ascii="Times New Roman" w:hAnsi="Times New Roman"/>
          <w:sz w:val="24"/>
          <w:szCs w:val="24"/>
        </w:rPr>
        <w:t xml:space="preserve">A partir desta seleção, foi criado um banco de dados com o auxílio do Microsoft Excel e da ferramenta </w:t>
      </w:r>
      <w:proofErr w:type="spellStart"/>
      <w:r w:rsidRPr="001271EE">
        <w:rPr>
          <w:rFonts w:ascii="Times New Roman" w:hAnsi="Times New Roman"/>
          <w:i/>
          <w:sz w:val="24"/>
          <w:szCs w:val="24"/>
        </w:rPr>
        <w:t>HistCite</w:t>
      </w:r>
      <w:proofErr w:type="spellEnd"/>
      <w:r w:rsidRPr="001271EE">
        <w:rPr>
          <w:rFonts w:ascii="Times New Roman" w:hAnsi="Times New Roman"/>
          <w:sz w:val="24"/>
          <w:szCs w:val="24"/>
        </w:rPr>
        <w:t xml:space="preserve">, </w:t>
      </w:r>
      <w:r w:rsidRPr="000E29EE">
        <w:rPr>
          <w:rFonts w:ascii="Times New Roman" w:hAnsi="Times New Roman"/>
          <w:i/>
          <w:sz w:val="24"/>
          <w:szCs w:val="24"/>
        </w:rPr>
        <w:t>software</w:t>
      </w:r>
      <w:r>
        <w:rPr>
          <w:rFonts w:ascii="Times New Roman" w:hAnsi="Times New Roman"/>
          <w:sz w:val="24"/>
          <w:szCs w:val="24"/>
        </w:rPr>
        <w:t xml:space="preserve"> que facilita a visualização dos resultados de buscas realizadas no</w:t>
      </w:r>
      <w:r w:rsidRPr="00BC1B71">
        <w:rPr>
          <w:rFonts w:ascii="Times New Roman" w:hAnsi="Times New Roman"/>
          <w:i/>
          <w:sz w:val="24"/>
          <w:szCs w:val="24"/>
        </w:rPr>
        <w:t xml:space="preserve"> </w:t>
      </w:r>
      <w:r w:rsidRPr="001271EE">
        <w:rPr>
          <w:rFonts w:ascii="Times New Roman" w:hAnsi="Times New Roman"/>
          <w:i/>
          <w:sz w:val="24"/>
          <w:szCs w:val="24"/>
        </w:rPr>
        <w:t xml:space="preserve">ISI Web </w:t>
      </w:r>
      <w:proofErr w:type="spellStart"/>
      <w:r w:rsidRPr="001271EE">
        <w:rPr>
          <w:rFonts w:ascii="Times New Roman" w:hAnsi="Times New Roman"/>
          <w:i/>
          <w:sz w:val="24"/>
          <w:szCs w:val="24"/>
        </w:rPr>
        <w:t>of</w:t>
      </w:r>
      <w:proofErr w:type="spellEnd"/>
      <w:r w:rsidRPr="001271EE">
        <w:rPr>
          <w:rFonts w:ascii="Times New Roman" w:hAnsi="Times New Roman"/>
          <w:i/>
          <w:sz w:val="24"/>
          <w:szCs w:val="24"/>
        </w:rPr>
        <w:t xml:space="preserve"> Science</w:t>
      </w:r>
      <w:r>
        <w:rPr>
          <w:rFonts w:ascii="Times New Roman" w:hAnsi="Times New Roman"/>
          <w:sz w:val="24"/>
          <w:szCs w:val="24"/>
        </w:rPr>
        <w:t xml:space="preserve"> por meio de estrutura de históricos e relacionamentos</w:t>
      </w:r>
      <w:r w:rsidR="007571E5">
        <w:rPr>
          <w:rFonts w:ascii="Times New Roman" w:hAnsi="Times New Roman"/>
          <w:sz w:val="24"/>
          <w:szCs w:val="24"/>
        </w:rPr>
        <w:t xml:space="preserve"> </w:t>
      </w:r>
      <w:r w:rsidR="007571E5">
        <w:rPr>
          <w:rFonts w:ascii="Times New Roman" w:hAnsi="Times New Roman"/>
          <w:sz w:val="24"/>
          <w:szCs w:val="24"/>
        </w:rPr>
        <w:fldChar w:fldCharType="begin" w:fldLock="1"/>
      </w:r>
      <w:r w:rsidR="005D0ED9">
        <w:rPr>
          <w:rFonts w:ascii="Times New Roman" w:hAnsi="Times New Roman"/>
          <w:sz w:val="24"/>
          <w:szCs w:val="24"/>
        </w:rPr>
        <w:instrText>ADDIN CSL_CITATION { "citationItems" : [ { "id" : "ITEM-1", "itemData" : { "author" : [ { "dropping-particle" : "", "family" : "GARFIELD, E.; PARIS, S. W.; STOCK", "given" : "W. G", "non-dropping-particle" : "", "parse-names" : false, "suffix" : "" } ], "container-title" : "Information \u2013 Wissenschaft und Praxis", "id" : "ITEM-1", "issue" : "8", "issued" : { "date-parts" : [ [ "2006" ] ] }, "page" : "391-400", "title" : "A software tool for informetric analysis of citation linkage.", "type" : "article-journal", "volume" : "57" }, "uris" : [ "http://www.mendeley.com/documents/?uuid=d7d672b3-0a81-40e2-afa3-d0a6818c1924", "http://www.mendeley.com/documents/?uuid=df6f2130-c292-4e3f-97c9-9f99b5cc8b12" ] } ], "mendeley" : { "formattedCitation" : "(GARFIELD, E.; PARIS, S. W.; STOCK, 2006)", "plainTextFormattedCitation" : "(GARFIELD, E.; PARIS, S. W.; STOCK, 2006)", "previouslyFormattedCitation" : "(GARFIELD, E.; PARIS, S. W.; STOCK, 2006)" }, "properties" : { "noteIndex" : 1 }, "schema" : "https://github.com/citation-style-language/schema/raw/master/csl-citation.json" }</w:instrText>
      </w:r>
      <w:r w:rsidR="007571E5">
        <w:rPr>
          <w:rFonts w:ascii="Times New Roman" w:hAnsi="Times New Roman"/>
          <w:sz w:val="24"/>
          <w:szCs w:val="24"/>
        </w:rPr>
        <w:fldChar w:fldCharType="separate"/>
      </w:r>
      <w:r w:rsidR="007571E5" w:rsidRPr="00560F26">
        <w:rPr>
          <w:rFonts w:ascii="Times New Roman" w:hAnsi="Times New Roman"/>
          <w:noProof/>
          <w:sz w:val="24"/>
          <w:szCs w:val="24"/>
        </w:rPr>
        <w:t>(GARFIELD, E.; PARIS, S. W.; STOCK, 2006)</w:t>
      </w:r>
      <w:r w:rsidR="007571E5">
        <w:rPr>
          <w:rFonts w:ascii="Times New Roman" w:hAnsi="Times New Roman"/>
          <w:sz w:val="24"/>
          <w:szCs w:val="24"/>
        </w:rPr>
        <w:fldChar w:fldCharType="end"/>
      </w:r>
      <w:r>
        <w:rPr>
          <w:rFonts w:ascii="Times New Roman" w:hAnsi="Times New Roman"/>
          <w:sz w:val="24"/>
          <w:szCs w:val="24"/>
        </w:rPr>
        <w:t xml:space="preserve">. Os dados obtidos relacionam nomes dos artigos, principais palavras, </w:t>
      </w:r>
      <w:r w:rsidRPr="001271EE">
        <w:rPr>
          <w:rFonts w:ascii="Times New Roman" w:hAnsi="Times New Roman"/>
          <w:sz w:val="24"/>
          <w:szCs w:val="24"/>
        </w:rPr>
        <w:t>artigos por autores, periódicos em que o</w:t>
      </w:r>
      <w:r>
        <w:rPr>
          <w:rFonts w:ascii="Times New Roman" w:hAnsi="Times New Roman"/>
          <w:sz w:val="24"/>
          <w:szCs w:val="24"/>
        </w:rPr>
        <w:t>s</w:t>
      </w:r>
      <w:r w:rsidRPr="001271EE">
        <w:rPr>
          <w:rFonts w:ascii="Times New Roman" w:hAnsi="Times New Roman"/>
          <w:sz w:val="24"/>
          <w:szCs w:val="24"/>
        </w:rPr>
        <w:t xml:space="preserve"> trabalhos foram p</w:t>
      </w:r>
      <w:r>
        <w:rPr>
          <w:rFonts w:ascii="Times New Roman" w:hAnsi="Times New Roman"/>
          <w:sz w:val="24"/>
          <w:szCs w:val="24"/>
        </w:rPr>
        <w:t>ublicados e anos de publicação.</w:t>
      </w:r>
    </w:p>
    <w:p w:rsidR="00136D21" w:rsidRPr="001271EE" w:rsidRDefault="00136D21" w:rsidP="00136D21">
      <w:pPr>
        <w:spacing w:after="120"/>
        <w:ind w:firstLine="708"/>
        <w:jc w:val="both"/>
        <w:rPr>
          <w:rFonts w:ascii="Times New Roman" w:hAnsi="Times New Roman"/>
          <w:sz w:val="24"/>
          <w:szCs w:val="24"/>
        </w:rPr>
      </w:pPr>
      <w:r w:rsidRPr="001271EE">
        <w:rPr>
          <w:rFonts w:ascii="Times New Roman" w:hAnsi="Times New Roman"/>
          <w:sz w:val="24"/>
          <w:szCs w:val="24"/>
        </w:rPr>
        <w:t xml:space="preserve">Pela análise desses dados e pela utilização de tabelas dinâmicas, gráficos e tabelas, foi possível detalhar aspectos da amostra coletada referente ao número de publicações no período, às palavras mais frequentes, aos autores que mais publicaram, aos periódicos que apresentam maior número de publicações e à periodicidade das publicações sobre o tema. </w:t>
      </w:r>
    </w:p>
    <w:p w:rsidR="00136D21" w:rsidRPr="001271EE" w:rsidRDefault="00136D21" w:rsidP="00136D21">
      <w:pPr>
        <w:spacing w:after="120"/>
        <w:ind w:firstLine="708"/>
        <w:jc w:val="both"/>
        <w:rPr>
          <w:rFonts w:ascii="Times New Roman" w:hAnsi="Times New Roman"/>
          <w:sz w:val="24"/>
          <w:szCs w:val="24"/>
        </w:rPr>
      </w:pPr>
      <w:r>
        <w:rPr>
          <w:rFonts w:ascii="Times New Roman" w:hAnsi="Times New Roman"/>
          <w:sz w:val="24"/>
          <w:szCs w:val="24"/>
        </w:rPr>
        <w:t>A F</w:t>
      </w:r>
      <w:r w:rsidRPr="001271EE">
        <w:rPr>
          <w:rFonts w:ascii="Times New Roman" w:hAnsi="Times New Roman"/>
          <w:sz w:val="24"/>
          <w:szCs w:val="24"/>
        </w:rPr>
        <w:t>igura 2</w:t>
      </w:r>
      <w:r w:rsidRPr="001271EE">
        <w:rPr>
          <w:rFonts w:ascii="Times New Roman" w:hAnsi="Times New Roman"/>
          <w:color w:val="FF0000"/>
          <w:sz w:val="24"/>
          <w:szCs w:val="24"/>
        </w:rPr>
        <w:t xml:space="preserve"> </w:t>
      </w:r>
      <w:r w:rsidRPr="001271EE">
        <w:rPr>
          <w:rFonts w:ascii="Times New Roman" w:hAnsi="Times New Roman"/>
          <w:sz w:val="24"/>
          <w:szCs w:val="24"/>
        </w:rPr>
        <w:t>representa as etapas propostas na metodologia e os principais resultados esperados em cada fase.</w:t>
      </w:r>
    </w:p>
    <w:p w:rsidR="00136D21" w:rsidRDefault="00136D21" w:rsidP="00136D21">
      <w:pPr>
        <w:spacing w:after="120"/>
        <w:ind w:left="1080"/>
        <w:jc w:val="both"/>
        <w:rPr>
          <w:rFonts w:ascii="Times New Roman" w:hAnsi="Times New Roman"/>
          <w:sz w:val="24"/>
          <w:szCs w:val="24"/>
        </w:rPr>
      </w:pPr>
    </w:p>
    <w:p w:rsidR="00136D21" w:rsidRDefault="00F6455D" w:rsidP="00136D21">
      <w:pPr>
        <w:spacing w:after="120"/>
        <w:ind w:left="1080"/>
        <w:jc w:val="both"/>
        <w:rPr>
          <w:rFonts w:ascii="Times New Roman" w:hAnsi="Times New Roman"/>
          <w:sz w:val="24"/>
          <w:szCs w:val="24"/>
        </w:rPr>
      </w:pPr>
      <w:r>
        <w:rPr>
          <w:rFonts w:ascii="Times New Roman" w:hAnsi="Times New Roman"/>
          <w:noProof/>
          <w:sz w:val="24"/>
          <w:szCs w:val="24"/>
          <w:lang w:eastAsia="pt-BR"/>
        </w:rPr>
        <w:drawing>
          <wp:inline distT="0" distB="0" distL="0" distR="0" wp14:anchorId="63D8BEE5" wp14:editId="0D2037A1">
            <wp:extent cx="4864100" cy="2781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4100" cy="2781300"/>
                    </a:xfrm>
                    <a:prstGeom prst="rect">
                      <a:avLst/>
                    </a:prstGeom>
                    <a:noFill/>
                    <a:ln>
                      <a:noFill/>
                    </a:ln>
                  </pic:spPr>
                </pic:pic>
              </a:graphicData>
            </a:graphic>
          </wp:inline>
        </w:drawing>
      </w:r>
    </w:p>
    <w:p w:rsidR="00136D21" w:rsidRDefault="00136D21" w:rsidP="00136D21">
      <w:pPr>
        <w:spacing w:after="120"/>
        <w:ind w:left="1080"/>
        <w:jc w:val="both"/>
        <w:rPr>
          <w:rFonts w:ascii="Times New Roman" w:hAnsi="Times New Roman"/>
          <w:sz w:val="20"/>
          <w:szCs w:val="20"/>
        </w:rPr>
      </w:pPr>
      <w:r>
        <w:rPr>
          <w:rFonts w:ascii="Times New Roman" w:hAnsi="Times New Roman"/>
          <w:sz w:val="20"/>
          <w:szCs w:val="20"/>
        </w:rPr>
        <w:t>FIGURA</w:t>
      </w:r>
      <w:r w:rsidRPr="00A120B5">
        <w:rPr>
          <w:rFonts w:ascii="Times New Roman" w:hAnsi="Times New Roman"/>
          <w:sz w:val="20"/>
          <w:szCs w:val="20"/>
        </w:rPr>
        <w:t xml:space="preserve"> 2 – Representação gráfica das fases da metodologia</w:t>
      </w:r>
    </w:p>
    <w:p w:rsidR="00136D21" w:rsidRPr="00A120B5" w:rsidRDefault="00136D21" w:rsidP="00136D21">
      <w:pPr>
        <w:spacing w:after="120"/>
        <w:ind w:left="1080"/>
        <w:jc w:val="both"/>
        <w:rPr>
          <w:rFonts w:ascii="Times New Roman" w:hAnsi="Times New Roman"/>
          <w:sz w:val="20"/>
          <w:szCs w:val="20"/>
        </w:rPr>
      </w:pPr>
    </w:p>
    <w:p w:rsidR="00136D21" w:rsidRPr="001271EE" w:rsidRDefault="00136D21" w:rsidP="00136D21">
      <w:pPr>
        <w:spacing w:after="120"/>
        <w:ind w:firstLine="708"/>
        <w:jc w:val="both"/>
        <w:rPr>
          <w:rFonts w:ascii="Times New Roman" w:hAnsi="Times New Roman"/>
          <w:sz w:val="24"/>
          <w:szCs w:val="24"/>
        </w:rPr>
      </w:pPr>
      <w:r w:rsidRPr="001271EE">
        <w:rPr>
          <w:rFonts w:ascii="Times New Roman" w:hAnsi="Times New Roman"/>
          <w:sz w:val="24"/>
          <w:szCs w:val="24"/>
        </w:rPr>
        <w:t>A seção seguinte aborda os resultados obtidos pela aplicação dessa metodologia, apresentando a produção acadêmica referente aos temas gestão do conhecimento e</w:t>
      </w:r>
      <w:r>
        <w:rPr>
          <w:rFonts w:ascii="Times New Roman" w:hAnsi="Times New Roman"/>
          <w:sz w:val="24"/>
          <w:szCs w:val="24"/>
        </w:rPr>
        <w:t xml:space="preserve"> da</w:t>
      </w:r>
      <w:r w:rsidRPr="001271EE">
        <w:rPr>
          <w:rFonts w:ascii="Times New Roman" w:hAnsi="Times New Roman"/>
          <w:sz w:val="24"/>
          <w:szCs w:val="24"/>
        </w:rPr>
        <w:t xml:space="preserve"> inovação.</w:t>
      </w:r>
    </w:p>
    <w:p w:rsidR="00136D21" w:rsidRDefault="00136D21" w:rsidP="00136D21">
      <w:pPr>
        <w:spacing w:after="120"/>
        <w:ind w:left="1080"/>
        <w:jc w:val="both"/>
        <w:rPr>
          <w:rFonts w:ascii="Times New Roman" w:hAnsi="Times New Roman"/>
          <w:b/>
          <w:sz w:val="24"/>
          <w:szCs w:val="24"/>
        </w:rPr>
      </w:pPr>
    </w:p>
    <w:p w:rsidR="00136D21" w:rsidRPr="00E0113C" w:rsidRDefault="00136D21" w:rsidP="00136D21">
      <w:pPr>
        <w:spacing w:after="120"/>
        <w:ind w:left="1080"/>
        <w:jc w:val="both"/>
        <w:rPr>
          <w:rFonts w:ascii="Times New Roman" w:hAnsi="Times New Roman"/>
          <w:b/>
          <w:sz w:val="24"/>
          <w:szCs w:val="24"/>
        </w:rPr>
      </w:pPr>
    </w:p>
    <w:p w:rsidR="00277541" w:rsidRPr="00E30FA6" w:rsidRDefault="00E30FA6" w:rsidP="00E30FA6">
      <w:pPr>
        <w:spacing w:after="120"/>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Discussão dos resultados</w:t>
      </w:r>
    </w:p>
    <w:p w:rsidR="000039C6" w:rsidRDefault="000039C6" w:rsidP="00E0113C">
      <w:pPr>
        <w:spacing w:after="120"/>
        <w:jc w:val="both"/>
        <w:rPr>
          <w:rFonts w:ascii="Times New Roman" w:hAnsi="Times New Roman"/>
          <w:b/>
          <w:sz w:val="24"/>
          <w:szCs w:val="24"/>
        </w:rPr>
      </w:pPr>
    </w:p>
    <w:p w:rsidR="00581B7E" w:rsidRDefault="00F16798" w:rsidP="00E0113C">
      <w:pPr>
        <w:spacing w:after="120"/>
        <w:jc w:val="both"/>
        <w:rPr>
          <w:rFonts w:ascii="Times New Roman" w:hAnsi="Times New Roman"/>
          <w:b/>
          <w:sz w:val="24"/>
          <w:szCs w:val="24"/>
        </w:rPr>
      </w:pPr>
      <w:r>
        <w:rPr>
          <w:rFonts w:ascii="Times New Roman" w:hAnsi="Times New Roman"/>
          <w:b/>
          <w:sz w:val="24"/>
          <w:szCs w:val="24"/>
        </w:rPr>
        <w:t>4</w:t>
      </w:r>
      <w:r w:rsidR="00277541">
        <w:rPr>
          <w:rFonts w:ascii="Times New Roman" w:hAnsi="Times New Roman"/>
          <w:b/>
          <w:sz w:val="24"/>
          <w:szCs w:val="24"/>
        </w:rPr>
        <w:t>.1 Principais palavras</w:t>
      </w:r>
    </w:p>
    <w:p w:rsidR="00581B7E" w:rsidRPr="00581B7E" w:rsidRDefault="00581B7E" w:rsidP="00581B7E">
      <w:pPr>
        <w:pStyle w:val="Legenda"/>
        <w:keepNext/>
        <w:jc w:val="both"/>
      </w:pPr>
      <w:r>
        <w:t xml:space="preserve">Tabela </w:t>
      </w:r>
      <w:r>
        <w:fldChar w:fldCharType="begin"/>
      </w:r>
      <w:r>
        <w:instrText xml:space="preserve"> SEQ Tabela \* ARABIC </w:instrText>
      </w:r>
      <w:r>
        <w:fldChar w:fldCharType="separate"/>
      </w:r>
      <w:r>
        <w:rPr>
          <w:noProof/>
        </w:rPr>
        <w:t>1</w:t>
      </w:r>
      <w:r>
        <w:fldChar w:fldCharType="end"/>
      </w:r>
      <w:r>
        <w:t xml:space="preserve"> - Principais palavras</w:t>
      </w:r>
    </w:p>
    <w:p w:rsidR="007B71F6" w:rsidRDefault="00581B7E" w:rsidP="00E0113C">
      <w:pPr>
        <w:spacing w:after="120"/>
        <w:jc w:val="both"/>
        <w:rPr>
          <w:rFonts w:ascii="Times New Roman" w:hAnsi="Times New Roman"/>
          <w:b/>
          <w:sz w:val="24"/>
          <w:szCs w:val="24"/>
        </w:rPr>
      </w:pPr>
      <w:r>
        <w:rPr>
          <w:rFonts w:ascii="Times New Roman" w:hAnsi="Times New Roman"/>
          <w:b/>
          <w:noProof/>
          <w:sz w:val="24"/>
          <w:szCs w:val="24"/>
          <w:lang w:eastAsia="pt-BR"/>
        </w:rPr>
        <w:drawing>
          <wp:inline distT="0" distB="0" distL="0" distR="0" wp14:anchorId="267CF8DF" wp14:editId="2364507D">
            <wp:extent cx="2924175" cy="284797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847975"/>
                    </a:xfrm>
                    <a:prstGeom prst="rect">
                      <a:avLst/>
                    </a:prstGeom>
                    <a:noFill/>
                    <a:ln>
                      <a:noFill/>
                    </a:ln>
                  </pic:spPr>
                </pic:pic>
              </a:graphicData>
            </a:graphic>
          </wp:inline>
        </w:drawing>
      </w:r>
    </w:p>
    <w:p w:rsidR="00581B7E" w:rsidRDefault="00581B7E" w:rsidP="00E0113C">
      <w:pPr>
        <w:spacing w:after="120"/>
        <w:jc w:val="both"/>
        <w:rPr>
          <w:rFonts w:ascii="Times New Roman" w:hAnsi="Times New Roman"/>
          <w:b/>
          <w:sz w:val="24"/>
          <w:szCs w:val="24"/>
        </w:rPr>
      </w:pPr>
    </w:p>
    <w:p w:rsidR="00581B7E" w:rsidRDefault="00581B7E"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277541" w:rsidRPr="00E0113C" w:rsidRDefault="00F16798" w:rsidP="00E0113C">
      <w:pPr>
        <w:spacing w:after="120"/>
        <w:jc w:val="both"/>
        <w:rPr>
          <w:rFonts w:ascii="Times New Roman" w:hAnsi="Times New Roman"/>
          <w:b/>
          <w:sz w:val="24"/>
          <w:szCs w:val="24"/>
        </w:rPr>
      </w:pPr>
      <w:r>
        <w:rPr>
          <w:rFonts w:ascii="Times New Roman" w:hAnsi="Times New Roman"/>
          <w:b/>
          <w:sz w:val="24"/>
          <w:szCs w:val="24"/>
        </w:rPr>
        <w:lastRenderedPageBreak/>
        <w:t>4</w:t>
      </w:r>
      <w:r w:rsidR="00277541" w:rsidRPr="001271EE">
        <w:rPr>
          <w:rFonts w:ascii="Times New Roman" w:hAnsi="Times New Roman"/>
          <w:b/>
          <w:sz w:val="24"/>
          <w:szCs w:val="24"/>
        </w:rPr>
        <w:t>.2 Autores que</w:t>
      </w:r>
      <w:r w:rsidR="00E0113C">
        <w:rPr>
          <w:rFonts w:ascii="Times New Roman" w:hAnsi="Times New Roman"/>
          <w:b/>
          <w:sz w:val="24"/>
          <w:szCs w:val="24"/>
        </w:rPr>
        <w:t xml:space="preserve"> mais publicaram e mais citados</w:t>
      </w:r>
    </w:p>
    <w:p w:rsidR="00581B7E" w:rsidRPr="00581B7E" w:rsidRDefault="00581B7E" w:rsidP="00581B7E">
      <w:pPr>
        <w:pStyle w:val="Legenda"/>
        <w:keepNext/>
        <w:jc w:val="both"/>
      </w:pPr>
      <w:r>
        <w:t xml:space="preserve">Tabela </w:t>
      </w:r>
      <w:r>
        <w:fldChar w:fldCharType="begin"/>
      </w:r>
      <w:r>
        <w:instrText xml:space="preserve"> SEQ Tabela \* ARABIC </w:instrText>
      </w:r>
      <w:r>
        <w:fldChar w:fldCharType="separate"/>
      </w:r>
      <w:r>
        <w:rPr>
          <w:noProof/>
        </w:rPr>
        <w:t>2</w:t>
      </w:r>
      <w:r>
        <w:fldChar w:fldCharType="end"/>
      </w:r>
      <w:r>
        <w:t xml:space="preserve"> - Autores mais importantes</w:t>
      </w:r>
    </w:p>
    <w:p w:rsidR="007B71F6" w:rsidRDefault="00581B7E" w:rsidP="002E26BA">
      <w:pPr>
        <w:spacing w:after="120"/>
        <w:jc w:val="both"/>
        <w:rPr>
          <w:rFonts w:ascii="Times New Roman" w:hAnsi="Times New Roman"/>
          <w:b/>
          <w:sz w:val="24"/>
          <w:szCs w:val="24"/>
        </w:rPr>
      </w:pPr>
      <w:r>
        <w:rPr>
          <w:rFonts w:ascii="Times New Roman" w:hAnsi="Times New Roman"/>
          <w:b/>
          <w:noProof/>
          <w:sz w:val="24"/>
          <w:szCs w:val="24"/>
          <w:lang w:eastAsia="pt-BR"/>
        </w:rPr>
        <w:drawing>
          <wp:inline distT="0" distB="0" distL="0" distR="0" wp14:anchorId="070BDECC" wp14:editId="6D6EF82C">
            <wp:extent cx="3028950" cy="28479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2847975"/>
                    </a:xfrm>
                    <a:prstGeom prst="rect">
                      <a:avLst/>
                    </a:prstGeom>
                    <a:noFill/>
                    <a:ln>
                      <a:noFill/>
                    </a:ln>
                  </pic:spPr>
                </pic:pic>
              </a:graphicData>
            </a:graphic>
          </wp:inline>
        </w:drawing>
      </w:r>
    </w:p>
    <w:p w:rsidR="000039C6" w:rsidRDefault="000039C6" w:rsidP="00E0113C">
      <w:pPr>
        <w:spacing w:after="120"/>
        <w:jc w:val="both"/>
        <w:rPr>
          <w:rFonts w:ascii="Times New Roman" w:hAnsi="Times New Roman"/>
          <w:b/>
          <w:sz w:val="24"/>
          <w:szCs w:val="24"/>
        </w:rPr>
      </w:pPr>
    </w:p>
    <w:p w:rsidR="007B71F6" w:rsidRDefault="00F16798" w:rsidP="00E0113C">
      <w:pPr>
        <w:spacing w:after="120"/>
        <w:jc w:val="both"/>
        <w:rPr>
          <w:rFonts w:ascii="Times New Roman" w:hAnsi="Times New Roman"/>
          <w:b/>
          <w:sz w:val="24"/>
          <w:szCs w:val="24"/>
        </w:rPr>
      </w:pPr>
      <w:r>
        <w:rPr>
          <w:rFonts w:ascii="Times New Roman" w:hAnsi="Times New Roman"/>
          <w:b/>
          <w:sz w:val="24"/>
          <w:szCs w:val="24"/>
        </w:rPr>
        <w:t>4</w:t>
      </w:r>
      <w:r w:rsidR="00277541" w:rsidRPr="001271EE">
        <w:rPr>
          <w:rFonts w:ascii="Times New Roman" w:hAnsi="Times New Roman"/>
          <w:b/>
          <w:sz w:val="24"/>
          <w:szCs w:val="24"/>
        </w:rPr>
        <w:t>.3 Principais periódicos</w:t>
      </w:r>
    </w:p>
    <w:p w:rsidR="00AC79BA" w:rsidRDefault="00AC79BA" w:rsidP="00AC79BA">
      <w:pPr>
        <w:pStyle w:val="Legenda"/>
        <w:keepNext/>
        <w:jc w:val="both"/>
      </w:pPr>
      <w:r>
        <w:t xml:space="preserve">Tabela </w:t>
      </w:r>
      <w:fldSimple w:instr=" SEQ Tabela \* ARABIC ">
        <w:r w:rsidR="00581B7E">
          <w:rPr>
            <w:noProof/>
          </w:rPr>
          <w:t>3</w:t>
        </w:r>
      </w:fldSimple>
      <w:r>
        <w:t xml:space="preserve"> - Revistas mais importantes</w:t>
      </w:r>
    </w:p>
    <w:p w:rsidR="005F45AE" w:rsidRDefault="00F16798" w:rsidP="00E0113C">
      <w:pPr>
        <w:spacing w:after="120"/>
        <w:jc w:val="both"/>
        <w:rPr>
          <w:rFonts w:ascii="Times New Roman" w:hAnsi="Times New Roman"/>
          <w:b/>
          <w:sz w:val="24"/>
          <w:szCs w:val="24"/>
        </w:rPr>
      </w:pPr>
      <w:r>
        <w:rPr>
          <w:rFonts w:ascii="Times New Roman" w:hAnsi="Times New Roman"/>
          <w:b/>
          <w:noProof/>
          <w:sz w:val="24"/>
          <w:szCs w:val="24"/>
          <w:lang w:eastAsia="pt-BR"/>
        </w:rPr>
        <w:drawing>
          <wp:inline distT="0" distB="0" distL="0" distR="0" wp14:anchorId="7717B995" wp14:editId="64378FB3">
            <wp:extent cx="5762625" cy="12954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295400"/>
                    </a:xfrm>
                    <a:prstGeom prst="rect">
                      <a:avLst/>
                    </a:prstGeom>
                    <a:noFill/>
                    <a:ln>
                      <a:noFill/>
                    </a:ln>
                  </pic:spPr>
                </pic:pic>
              </a:graphicData>
            </a:graphic>
          </wp:inline>
        </w:drawing>
      </w:r>
    </w:p>
    <w:p w:rsidR="00581B7E" w:rsidRDefault="00581B7E" w:rsidP="00E0113C">
      <w:pPr>
        <w:spacing w:after="120"/>
        <w:jc w:val="both"/>
        <w:rPr>
          <w:rFonts w:ascii="Times New Roman" w:hAnsi="Times New Roman"/>
          <w:b/>
          <w:sz w:val="24"/>
          <w:szCs w:val="24"/>
        </w:rPr>
      </w:pPr>
    </w:p>
    <w:p w:rsidR="000039C6" w:rsidRDefault="000039C6" w:rsidP="00E0113C">
      <w:pPr>
        <w:spacing w:after="120"/>
        <w:jc w:val="both"/>
        <w:rPr>
          <w:rFonts w:ascii="Times New Roman" w:hAnsi="Times New Roman"/>
          <w:b/>
          <w:sz w:val="24"/>
          <w:szCs w:val="24"/>
        </w:rPr>
      </w:pPr>
    </w:p>
    <w:p w:rsidR="000039C6" w:rsidRDefault="000039C6" w:rsidP="00E0113C">
      <w:pPr>
        <w:spacing w:after="120"/>
        <w:jc w:val="both"/>
        <w:rPr>
          <w:rFonts w:ascii="Times New Roman" w:hAnsi="Times New Roman"/>
          <w:b/>
          <w:sz w:val="24"/>
          <w:szCs w:val="24"/>
        </w:rPr>
      </w:pPr>
    </w:p>
    <w:p w:rsidR="000039C6" w:rsidRDefault="000039C6" w:rsidP="00E0113C">
      <w:pPr>
        <w:spacing w:after="120"/>
        <w:jc w:val="both"/>
        <w:rPr>
          <w:rFonts w:ascii="Times New Roman" w:hAnsi="Times New Roman"/>
          <w:b/>
          <w:sz w:val="24"/>
          <w:szCs w:val="24"/>
        </w:rPr>
      </w:pPr>
    </w:p>
    <w:p w:rsidR="000039C6" w:rsidRDefault="000039C6" w:rsidP="00E0113C">
      <w:pPr>
        <w:spacing w:after="120"/>
        <w:jc w:val="both"/>
        <w:rPr>
          <w:rFonts w:ascii="Times New Roman" w:hAnsi="Times New Roman"/>
          <w:b/>
          <w:sz w:val="24"/>
          <w:szCs w:val="24"/>
        </w:rPr>
      </w:pPr>
    </w:p>
    <w:p w:rsidR="000039C6" w:rsidRDefault="000039C6" w:rsidP="00E0113C">
      <w:pPr>
        <w:spacing w:after="120"/>
        <w:jc w:val="both"/>
        <w:rPr>
          <w:rFonts w:ascii="Times New Roman" w:hAnsi="Times New Roman"/>
          <w:b/>
          <w:sz w:val="24"/>
          <w:szCs w:val="24"/>
        </w:rPr>
      </w:pPr>
    </w:p>
    <w:p w:rsidR="000039C6" w:rsidRDefault="000039C6" w:rsidP="00E0113C">
      <w:pPr>
        <w:spacing w:after="120"/>
        <w:jc w:val="both"/>
        <w:rPr>
          <w:rFonts w:ascii="Times New Roman" w:hAnsi="Times New Roman"/>
          <w:b/>
          <w:sz w:val="24"/>
          <w:szCs w:val="24"/>
        </w:rPr>
      </w:pPr>
    </w:p>
    <w:p w:rsidR="000039C6" w:rsidRDefault="000039C6" w:rsidP="00E0113C">
      <w:pPr>
        <w:spacing w:after="120"/>
        <w:jc w:val="both"/>
        <w:rPr>
          <w:rFonts w:ascii="Times New Roman" w:hAnsi="Times New Roman"/>
          <w:b/>
          <w:sz w:val="24"/>
          <w:szCs w:val="24"/>
        </w:rPr>
      </w:pPr>
    </w:p>
    <w:p w:rsidR="000039C6" w:rsidRDefault="000039C6" w:rsidP="00E0113C">
      <w:pPr>
        <w:spacing w:after="120"/>
        <w:jc w:val="both"/>
        <w:rPr>
          <w:rFonts w:ascii="Times New Roman" w:hAnsi="Times New Roman"/>
          <w:b/>
          <w:sz w:val="24"/>
          <w:szCs w:val="24"/>
        </w:rPr>
      </w:pPr>
    </w:p>
    <w:p w:rsidR="000039C6" w:rsidRDefault="000039C6" w:rsidP="00E0113C">
      <w:pPr>
        <w:spacing w:after="120"/>
        <w:jc w:val="both"/>
        <w:rPr>
          <w:rFonts w:ascii="Times New Roman" w:hAnsi="Times New Roman"/>
          <w:b/>
          <w:sz w:val="24"/>
          <w:szCs w:val="24"/>
        </w:rPr>
      </w:pPr>
    </w:p>
    <w:p w:rsidR="006676BD" w:rsidRDefault="006676BD" w:rsidP="00E0113C">
      <w:pPr>
        <w:spacing w:after="120"/>
        <w:jc w:val="both"/>
        <w:rPr>
          <w:rFonts w:ascii="Times New Roman" w:hAnsi="Times New Roman"/>
          <w:b/>
          <w:sz w:val="24"/>
          <w:szCs w:val="24"/>
        </w:rPr>
      </w:pPr>
    </w:p>
    <w:p w:rsidR="005F45AE" w:rsidRDefault="00581B7E" w:rsidP="00E0113C">
      <w:pPr>
        <w:spacing w:after="120"/>
        <w:jc w:val="both"/>
        <w:rPr>
          <w:rFonts w:ascii="Times New Roman" w:hAnsi="Times New Roman"/>
          <w:b/>
          <w:sz w:val="24"/>
          <w:szCs w:val="24"/>
        </w:rPr>
      </w:pPr>
      <w:proofErr w:type="gramStart"/>
      <w:r>
        <w:rPr>
          <w:rFonts w:ascii="Times New Roman" w:hAnsi="Times New Roman"/>
          <w:b/>
          <w:sz w:val="24"/>
          <w:szCs w:val="24"/>
        </w:rPr>
        <w:lastRenderedPageBreak/>
        <w:t>4</w:t>
      </w:r>
      <w:r w:rsidRPr="001271EE">
        <w:rPr>
          <w:rFonts w:ascii="Times New Roman" w:hAnsi="Times New Roman"/>
          <w:b/>
          <w:sz w:val="24"/>
          <w:szCs w:val="24"/>
        </w:rPr>
        <w:t>.4</w:t>
      </w:r>
      <w:r>
        <w:rPr>
          <w:rFonts w:ascii="Times New Roman" w:hAnsi="Times New Roman"/>
          <w:b/>
          <w:sz w:val="24"/>
          <w:szCs w:val="24"/>
        </w:rPr>
        <w:t xml:space="preserve"> </w:t>
      </w:r>
      <w:r w:rsidRPr="001271EE">
        <w:rPr>
          <w:rFonts w:ascii="Times New Roman" w:hAnsi="Times New Roman"/>
          <w:b/>
          <w:sz w:val="24"/>
          <w:szCs w:val="24"/>
        </w:rPr>
        <w:t>Número</w:t>
      </w:r>
      <w:proofErr w:type="gramEnd"/>
      <w:r w:rsidRPr="001271EE">
        <w:rPr>
          <w:rFonts w:ascii="Times New Roman" w:hAnsi="Times New Roman"/>
          <w:b/>
          <w:sz w:val="24"/>
          <w:szCs w:val="24"/>
        </w:rPr>
        <w:t xml:space="preserve"> de pu</w:t>
      </w:r>
      <w:r>
        <w:rPr>
          <w:rFonts w:ascii="Times New Roman" w:hAnsi="Times New Roman"/>
          <w:b/>
          <w:sz w:val="24"/>
          <w:szCs w:val="24"/>
        </w:rPr>
        <w:t>blicações no período pesquisado</w:t>
      </w:r>
    </w:p>
    <w:p w:rsidR="004B5AAF" w:rsidRDefault="004B5AAF" w:rsidP="004B5AAF">
      <w:pPr>
        <w:pStyle w:val="Legenda"/>
        <w:keepNext/>
        <w:jc w:val="both"/>
      </w:pPr>
      <w:r>
        <w:t xml:space="preserve">Tabela </w:t>
      </w:r>
      <w:fldSimple w:instr=" SEQ Tabela \* ARABIC ">
        <w:r w:rsidR="00581B7E">
          <w:rPr>
            <w:noProof/>
          </w:rPr>
          <w:t>4</w:t>
        </w:r>
      </w:fldSimple>
      <w:r>
        <w:t xml:space="preserve"> - Publicações por ano</w:t>
      </w:r>
    </w:p>
    <w:p w:rsidR="005F45AE" w:rsidRDefault="00F16798" w:rsidP="00E0113C">
      <w:pPr>
        <w:spacing w:after="120"/>
        <w:jc w:val="both"/>
        <w:rPr>
          <w:rFonts w:ascii="Times New Roman" w:hAnsi="Times New Roman"/>
          <w:b/>
          <w:sz w:val="24"/>
          <w:szCs w:val="24"/>
        </w:rPr>
      </w:pPr>
      <w:r>
        <w:rPr>
          <w:rFonts w:ascii="Times New Roman" w:hAnsi="Times New Roman"/>
          <w:b/>
          <w:noProof/>
          <w:sz w:val="24"/>
          <w:szCs w:val="24"/>
          <w:lang w:eastAsia="pt-BR"/>
        </w:rPr>
        <w:drawing>
          <wp:inline distT="0" distB="0" distL="0" distR="0" wp14:anchorId="4290A88F" wp14:editId="429F4A52">
            <wp:extent cx="2800350" cy="23145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350" cy="2314575"/>
                    </a:xfrm>
                    <a:prstGeom prst="rect">
                      <a:avLst/>
                    </a:prstGeom>
                    <a:noFill/>
                    <a:ln>
                      <a:noFill/>
                    </a:ln>
                  </pic:spPr>
                </pic:pic>
              </a:graphicData>
            </a:graphic>
          </wp:inline>
        </w:drawing>
      </w:r>
    </w:p>
    <w:p w:rsidR="000039C6" w:rsidRDefault="000039C6" w:rsidP="004B5AAF">
      <w:pPr>
        <w:pStyle w:val="Legenda"/>
        <w:keepNext/>
        <w:jc w:val="both"/>
      </w:pPr>
    </w:p>
    <w:p w:rsidR="000039C6" w:rsidRDefault="000039C6" w:rsidP="004B5AAF">
      <w:pPr>
        <w:pStyle w:val="Legenda"/>
        <w:keepNext/>
        <w:jc w:val="both"/>
      </w:pPr>
    </w:p>
    <w:p w:rsidR="004B5AAF" w:rsidRDefault="004B5AAF" w:rsidP="004B5AAF">
      <w:pPr>
        <w:pStyle w:val="Legenda"/>
        <w:keepNext/>
        <w:jc w:val="both"/>
      </w:pPr>
      <w:r>
        <w:t xml:space="preserve">Tabela </w:t>
      </w:r>
      <w:fldSimple w:instr=" SEQ Tabela \* ARABIC ">
        <w:r w:rsidR="00581B7E">
          <w:rPr>
            <w:noProof/>
          </w:rPr>
          <w:t>5</w:t>
        </w:r>
      </w:fldSimple>
      <w:r>
        <w:t xml:space="preserve"> - Referências mais citadas</w:t>
      </w:r>
    </w:p>
    <w:p w:rsidR="005F45AE" w:rsidRDefault="005F45AE" w:rsidP="00E0113C">
      <w:pPr>
        <w:spacing w:after="120"/>
        <w:jc w:val="both"/>
        <w:rPr>
          <w:rFonts w:ascii="Times New Roman" w:hAnsi="Times New Roman"/>
          <w:b/>
          <w:sz w:val="24"/>
          <w:szCs w:val="24"/>
        </w:rPr>
      </w:pPr>
      <w:r>
        <w:rPr>
          <w:rFonts w:ascii="Times New Roman" w:hAnsi="Times New Roman"/>
          <w:b/>
          <w:noProof/>
          <w:sz w:val="24"/>
          <w:szCs w:val="24"/>
          <w:lang w:eastAsia="pt-BR"/>
        </w:rPr>
        <w:drawing>
          <wp:inline distT="0" distB="0" distL="0" distR="0">
            <wp:extent cx="5753100" cy="212407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2124075"/>
                    </a:xfrm>
                    <a:prstGeom prst="rect">
                      <a:avLst/>
                    </a:prstGeom>
                    <a:noFill/>
                    <a:ln>
                      <a:noFill/>
                    </a:ln>
                  </pic:spPr>
                </pic:pic>
              </a:graphicData>
            </a:graphic>
          </wp:inline>
        </w:drawing>
      </w:r>
    </w:p>
    <w:p w:rsidR="005F45AE" w:rsidRDefault="005F45AE" w:rsidP="00E0113C">
      <w:pPr>
        <w:spacing w:after="120"/>
        <w:jc w:val="both"/>
        <w:rPr>
          <w:rFonts w:ascii="Times New Roman" w:hAnsi="Times New Roman"/>
          <w:b/>
          <w:sz w:val="24"/>
          <w:szCs w:val="24"/>
        </w:rPr>
      </w:pPr>
    </w:p>
    <w:p w:rsidR="004B5AAF" w:rsidRDefault="004B5AAF" w:rsidP="004B5AAF">
      <w:pPr>
        <w:pStyle w:val="Legenda"/>
        <w:keepNext/>
        <w:jc w:val="both"/>
      </w:pPr>
      <w:r>
        <w:lastRenderedPageBreak/>
        <w:t xml:space="preserve">Gráfico </w:t>
      </w:r>
      <w:fldSimple w:instr=" SEQ Gráfico \* ARABIC ">
        <w:r>
          <w:rPr>
            <w:noProof/>
          </w:rPr>
          <w:t>1</w:t>
        </w:r>
      </w:fldSimple>
      <w:r>
        <w:t xml:space="preserve"> - </w:t>
      </w:r>
      <w:proofErr w:type="spellStart"/>
      <w:r>
        <w:t>Histcite</w:t>
      </w:r>
      <w:proofErr w:type="spellEnd"/>
    </w:p>
    <w:p w:rsidR="000039C6" w:rsidRDefault="005B0AC0" w:rsidP="000039C6">
      <w:pPr>
        <w:keepNext/>
        <w:spacing w:after="120"/>
        <w:jc w:val="both"/>
      </w:pPr>
      <w:r>
        <w:rPr>
          <w:rFonts w:ascii="Times New Roman" w:hAnsi="Times New Roman"/>
          <w:b/>
          <w:noProof/>
          <w:sz w:val="24"/>
          <w:szCs w:val="24"/>
          <w:lang w:eastAsia="pt-BR"/>
        </w:rPr>
        <w:drawing>
          <wp:inline distT="0" distB="0" distL="0" distR="0" wp14:anchorId="3602AEBC" wp14:editId="1FF62CB4">
            <wp:extent cx="5753100" cy="28194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819400"/>
                    </a:xfrm>
                    <a:prstGeom prst="rect">
                      <a:avLst/>
                    </a:prstGeom>
                    <a:noFill/>
                    <a:ln>
                      <a:noFill/>
                    </a:ln>
                  </pic:spPr>
                </pic:pic>
              </a:graphicData>
            </a:graphic>
          </wp:inline>
        </w:drawing>
      </w:r>
    </w:p>
    <w:p w:rsidR="000039C6" w:rsidRDefault="000039C6" w:rsidP="000039C6">
      <w:pPr>
        <w:keepNext/>
        <w:spacing w:after="120"/>
        <w:jc w:val="both"/>
      </w:pPr>
    </w:p>
    <w:p w:rsidR="000039C6" w:rsidRPr="000039C6" w:rsidRDefault="000039C6" w:rsidP="000039C6">
      <w:pPr>
        <w:keepNext/>
        <w:spacing w:after="120"/>
        <w:jc w:val="both"/>
      </w:pPr>
    </w:p>
    <w:p w:rsidR="00277541" w:rsidRDefault="00F16798" w:rsidP="002E26BA">
      <w:pPr>
        <w:spacing w:after="120"/>
        <w:jc w:val="both"/>
        <w:rPr>
          <w:rFonts w:ascii="Times New Roman" w:hAnsi="Times New Roman"/>
          <w:b/>
          <w:sz w:val="24"/>
          <w:szCs w:val="24"/>
        </w:rPr>
      </w:pPr>
      <w:r>
        <w:rPr>
          <w:rFonts w:ascii="Times New Roman" w:hAnsi="Times New Roman"/>
          <w:b/>
          <w:sz w:val="24"/>
          <w:szCs w:val="24"/>
        </w:rPr>
        <w:t>5</w:t>
      </w:r>
      <w:r w:rsidR="00E30FA6">
        <w:rPr>
          <w:rFonts w:ascii="Times New Roman" w:hAnsi="Times New Roman"/>
          <w:b/>
          <w:sz w:val="24"/>
          <w:szCs w:val="24"/>
        </w:rPr>
        <w:tab/>
      </w:r>
      <w:r w:rsidR="00277541" w:rsidRPr="001271EE">
        <w:rPr>
          <w:rFonts w:ascii="Times New Roman" w:hAnsi="Times New Roman"/>
          <w:b/>
          <w:sz w:val="24"/>
          <w:szCs w:val="24"/>
        </w:rPr>
        <w:t>Con</w:t>
      </w:r>
      <w:r w:rsidR="0036364D">
        <w:rPr>
          <w:rFonts w:ascii="Times New Roman" w:hAnsi="Times New Roman"/>
          <w:b/>
          <w:sz w:val="24"/>
          <w:szCs w:val="24"/>
        </w:rPr>
        <w:t>clusão</w:t>
      </w:r>
    </w:p>
    <w:p w:rsidR="0036364D" w:rsidRPr="0036364D" w:rsidRDefault="0036364D" w:rsidP="0036364D">
      <w:pPr>
        <w:pStyle w:val="NormalWeb"/>
        <w:ind w:firstLine="708"/>
        <w:jc w:val="both"/>
      </w:pPr>
      <w:r w:rsidRPr="0036364D">
        <w:t>O estudo explicou como a contabilidade de custos pode auxiliar o administrador na gestão dos serviços públicos, obtendo, através dela</w:t>
      </w:r>
      <w:proofErr w:type="gramStart"/>
      <w:r w:rsidRPr="0036364D">
        <w:t>, meios capazes de levá-lo a tomada de decisões mais precisas e corretas</w:t>
      </w:r>
      <w:proofErr w:type="gramEnd"/>
      <w:r w:rsidRPr="0036364D">
        <w:t>. Consequentemente, aumentando a qualidade e eficiência de programas e projetos governamentais e os benefícios à população.</w:t>
      </w:r>
    </w:p>
    <w:p w:rsidR="0036364D" w:rsidRPr="0036364D" w:rsidRDefault="0036364D" w:rsidP="0036364D">
      <w:pPr>
        <w:pStyle w:val="NormalWeb"/>
        <w:ind w:firstLine="708"/>
        <w:jc w:val="both"/>
      </w:pPr>
      <w:r w:rsidRPr="0036364D">
        <w:t xml:space="preserve">Hoje, o sistema de custos aplicado ao setor público é extremamente importante, apesar de surgir primeiramente para atender o setor privado. A contabilidade de custos é </w:t>
      </w:r>
      <w:proofErr w:type="gramStart"/>
      <w:r w:rsidRPr="0036364D">
        <w:t>capaz de gerar dados precisos e corretos, que levam a mensuração e avaliação do desempenho dos serviços públicos</w:t>
      </w:r>
      <w:proofErr w:type="gramEnd"/>
      <w:r w:rsidRPr="0036364D">
        <w:t>.</w:t>
      </w:r>
    </w:p>
    <w:p w:rsidR="0036364D" w:rsidRPr="0036364D" w:rsidRDefault="0036364D" w:rsidP="0036364D">
      <w:pPr>
        <w:pStyle w:val="NormalWeb"/>
        <w:ind w:firstLine="708"/>
        <w:jc w:val="both"/>
      </w:pPr>
      <w:r w:rsidRPr="0036364D">
        <w:t>Além disso, é responsável por reduzir desperdícios e distribuir corretamente os recursos entre as diversas áreas do governo, tornando-se ainda mais importante, visto que, o governo sempre procura reduzir os gastos públicos. Calculando os custos relacionados aos serviços públicos é possível saber se há desperdício, se a população está sendo atendida de forma eficaz e quais as decisões mais acertadas sobre o planejamento e realização dos projetos, melhorando, dessa forma, a qualidade dos gastos públicos.</w:t>
      </w:r>
    </w:p>
    <w:p w:rsidR="0036364D" w:rsidRPr="0036364D" w:rsidRDefault="0036364D" w:rsidP="0036364D">
      <w:pPr>
        <w:pStyle w:val="NormalWeb"/>
        <w:ind w:firstLine="708"/>
        <w:jc w:val="both"/>
      </w:pPr>
      <w:r w:rsidRPr="0036364D">
        <w:t>Ainda que sejam claro os benefícios do sistema de custeio no âmbito público, há preconceitos encontrados para sua aplicação prática. Aos poucos está sendo implantado o sistema de custos.</w:t>
      </w:r>
    </w:p>
    <w:p w:rsidR="0036364D" w:rsidRPr="0036364D" w:rsidRDefault="0036364D" w:rsidP="0036364D">
      <w:pPr>
        <w:pStyle w:val="NormalWeb"/>
        <w:ind w:firstLine="708"/>
        <w:jc w:val="both"/>
      </w:pPr>
      <w:r w:rsidRPr="0036364D">
        <w:t>Portanto, deve-se acabar com esses preconceitos e utilizar essa ferramenta, que é a contabilidade de custos, para auxiliar na gestão pública, tornando as ações gerenciais, por parte dos administradores, eficientes e eficazes, o que resultaria em programas e projetos governamentais de qualidade, deixando a população satisfeita com o benefício gerado por ela.</w:t>
      </w:r>
    </w:p>
    <w:p w:rsidR="0036364D" w:rsidRDefault="0036364D" w:rsidP="002E26BA">
      <w:pPr>
        <w:spacing w:after="120"/>
        <w:jc w:val="both"/>
        <w:rPr>
          <w:rFonts w:ascii="Times New Roman" w:hAnsi="Times New Roman"/>
          <w:b/>
          <w:sz w:val="24"/>
          <w:szCs w:val="24"/>
        </w:rPr>
      </w:pPr>
    </w:p>
    <w:p w:rsidR="00277541" w:rsidRPr="00F6455D" w:rsidRDefault="00277541" w:rsidP="002E26BA">
      <w:pPr>
        <w:spacing w:after="120"/>
        <w:jc w:val="both"/>
        <w:rPr>
          <w:rFonts w:ascii="Times New Roman" w:hAnsi="Times New Roman"/>
          <w:b/>
          <w:sz w:val="20"/>
          <w:szCs w:val="20"/>
        </w:rPr>
      </w:pPr>
      <w:r w:rsidRPr="00F6455D">
        <w:rPr>
          <w:rFonts w:ascii="Times New Roman" w:hAnsi="Times New Roman"/>
          <w:b/>
          <w:sz w:val="20"/>
          <w:szCs w:val="20"/>
        </w:rPr>
        <w:lastRenderedPageBreak/>
        <w:t>Referências bibliográficas</w:t>
      </w:r>
    </w:p>
    <w:p w:rsidR="00877EC3" w:rsidRPr="004E037D" w:rsidRDefault="007571E5" w:rsidP="00877EC3">
      <w:pPr>
        <w:widowControl w:val="0"/>
        <w:autoSpaceDE w:val="0"/>
        <w:autoSpaceDN w:val="0"/>
        <w:adjustRightInd w:val="0"/>
        <w:spacing w:after="120" w:line="240" w:lineRule="auto"/>
        <w:ind w:left="480" w:hanging="480"/>
        <w:rPr>
          <w:rFonts w:ascii="Times New Roman" w:hAnsi="Times New Roman"/>
          <w:noProof/>
          <w:sz w:val="20"/>
          <w:szCs w:val="24"/>
          <w:lang w:val="en-US"/>
        </w:rPr>
      </w:pPr>
      <w:r>
        <w:rPr>
          <w:rFonts w:ascii="Times New Roman" w:hAnsi="Times New Roman"/>
          <w:sz w:val="20"/>
          <w:szCs w:val="20"/>
        </w:rPr>
        <w:fldChar w:fldCharType="begin" w:fldLock="1"/>
      </w:r>
      <w:r>
        <w:rPr>
          <w:rFonts w:ascii="Times New Roman" w:hAnsi="Times New Roman"/>
          <w:sz w:val="20"/>
          <w:szCs w:val="20"/>
        </w:rPr>
        <w:instrText xml:space="preserve">ADDIN Mendeley Bibliography CSL_BIBLIOGRAPHY </w:instrText>
      </w:r>
      <w:r>
        <w:rPr>
          <w:rFonts w:ascii="Times New Roman" w:hAnsi="Times New Roman"/>
          <w:sz w:val="20"/>
          <w:szCs w:val="20"/>
        </w:rPr>
        <w:fldChar w:fldCharType="separate"/>
      </w:r>
      <w:r w:rsidR="00877EC3" w:rsidRPr="004E037D">
        <w:rPr>
          <w:rFonts w:ascii="Times New Roman" w:hAnsi="Times New Roman"/>
          <w:noProof/>
          <w:sz w:val="20"/>
          <w:szCs w:val="24"/>
          <w:lang w:val="en-US"/>
        </w:rPr>
        <w:t>Fossen, F., &amp; König, J. (2015). Public health insurance and entry into self employment, 647–669. https://doi.org/10.1007/s11187-017-9843-0</w:t>
      </w:r>
    </w:p>
    <w:p w:rsidR="00877EC3" w:rsidRPr="004E037D" w:rsidRDefault="00877EC3" w:rsidP="00877EC3">
      <w:pPr>
        <w:widowControl w:val="0"/>
        <w:autoSpaceDE w:val="0"/>
        <w:autoSpaceDN w:val="0"/>
        <w:adjustRightInd w:val="0"/>
        <w:spacing w:after="120" w:line="240" w:lineRule="auto"/>
        <w:ind w:left="480" w:hanging="480"/>
        <w:rPr>
          <w:rFonts w:ascii="Times New Roman" w:hAnsi="Times New Roman"/>
          <w:noProof/>
          <w:sz w:val="20"/>
          <w:szCs w:val="24"/>
          <w:lang w:val="en-US"/>
        </w:rPr>
      </w:pPr>
      <w:r w:rsidRPr="004E037D">
        <w:rPr>
          <w:rFonts w:ascii="Times New Roman" w:hAnsi="Times New Roman"/>
          <w:noProof/>
          <w:sz w:val="20"/>
          <w:szCs w:val="24"/>
          <w:lang w:val="en-US"/>
        </w:rPr>
        <w:t xml:space="preserve">GARFIELD, E.; PARIS, S. W.; STOCK, W. G. (2006). A software tool for informetric analysis of citation linkage. </w:t>
      </w:r>
      <w:r w:rsidRPr="004E037D">
        <w:rPr>
          <w:rFonts w:ascii="Times New Roman" w:hAnsi="Times New Roman"/>
          <w:i/>
          <w:iCs/>
          <w:noProof/>
          <w:sz w:val="20"/>
          <w:szCs w:val="24"/>
          <w:lang w:val="en-US"/>
        </w:rPr>
        <w:t>Information – Wissenschaft Und Praxis</w:t>
      </w:r>
      <w:r w:rsidRPr="004E037D">
        <w:rPr>
          <w:rFonts w:ascii="Times New Roman" w:hAnsi="Times New Roman"/>
          <w:noProof/>
          <w:sz w:val="20"/>
          <w:szCs w:val="24"/>
          <w:lang w:val="en-US"/>
        </w:rPr>
        <w:t xml:space="preserve">, </w:t>
      </w:r>
      <w:r w:rsidRPr="004E037D">
        <w:rPr>
          <w:rFonts w:ascii="Times New Roman" w:hAnsi="Times New Roman"/>
          <w:i/>
          <w:iCs/>
          <w:noProof/>
          <w:sz w:val="20"/>
          <w:szCs w:val="24"/>
          <w:lang w:val="en-US"/>
        </w:rPr>
        <w:t>57</w:t>
      </w:r>
      <w:r w:rsidRPr="004E037D">
        <w:rPr>
          <w:rFonts w:ascii="Times New Roman" w:hAnsi="Times New Roman"/>
          <w:noProof/>
          <w:sz w:val="20"/>
          <w:szCs w:val="24"/>
          <w:lang w:val="en-US"/>
        </w:rPr>
        <w:t>(8), 391–400.</w:t>
      </w:r>
    </w:p>
    <w:p w:rsidR="00877EC3" w:rsidRPr="004E037D" w:rsidRDefault="00877EC3" w:rsidP="00877EC3">
      <w:pPr>
        <w:widowControl w:val="0"/>
        <w:autoSpaceDE w:val="0"/>
        <w:autoSpaceDN w:val="0"/>
        <w:adjustRightInd w:val="0"/>
        <w:spacing w:after="120" w:line="240" w:lineRule="auto"/>
        <w:ind w:left="480" w:hanging="480"/>
        <w:rPr>
          <w:rFonts w:ascii="Times New Roman" w:hAnsi="Times New Roman"/>
          <w:noProof/>
          <w:sz w:val="20"/>
          <w:szCs w:val="24"/>
          <w:lang w:val="en-US"/>
        </w:rPr>
      </w:pPr>
      <w:r w:rsidRPr="004E037D">
        <w:rPr>
          <w:rFonts w:ascii="Times New Roman" w:hAnsi="Times New Roman"/>
          <w:noProof/>
          <w:sz w:val="20"/>
          <w:szCs w:val="24"/>
          <w:lang w:val="en-US"/>
        </w:rPr>
        <w:t xml:space="preserve">Nicholls, J. (2017). Social return on investment—Development and convergence. </w:t>
      </w:r>
      <w:r w:rsidRPr="004E037D">
        <w:rPr>
          <w:rFonts w:ascii="Times New Roman" w:hAnsi="Times New Roman"/>
          <w:i/>
          <w:iCs/>
          <w:noProof/>
          <w:sz w:val="20"/>
          <w:szCs w:val="24"/>
          <w:lang w:val="en-US"/>
        </w:rPr>
        <w:t>Evaluation and Program Planning</w:t>
      </w:r>
      <w:r w:rsidRPr="004E037D">
        <w:rPr>
          <w:rFonts w:ascii="Times New Roman" w:hAnsi="Times New Roman"/>
          <w:noProof/>
          <w:sz w:val="20"/>
          <w:szCs w:val="24"/>
          <w:lang w:val="en-US"/>
        </w:rPr>
        <w:t xml:space="preserve">, </w:t>
      </w:r>
      <w:r w:rsidRPr="004E037D">
        <w:rPr>
          <w:rFonts w:ascii="Times New Roman" w:hAnsi="Times New Roman"/>
          <w:i/>
          <w:iCs/>
          <w:noProof/>
          <w:sz w:val="20"/>
          <w:szCs w:val="24"/>
          <w:lang w:val="en-US"/>
        </w:rPr>
        <w:t>64</w:t>
      </w:r>
      <w:r w:rsidRPr="004E037D">
        <w:rPr>
          <w:rFonts w:ascii="Times New Roman" w:hAnsi="Times New Roman"/>
          <w:noProof/>
          <w:sz w:val="20"/>
          <w:szCs w:val="24"/>
          <w:lang w:val="en-US"/>
        </w:rPr>
        <w:t>, 127–135. https://doi.org/10.1016/j.evalprogplan.2016.11.011</w:t>
      </w:r>
    </w:p>
    <w:p w:rsidR="00877EC3" w:rsidRPr="004E037D" w:rsidRDefault="00877EC3" w:rsidP="00877EC3">
      <w:pPr>
        <w:widowControl w:val="0"/>
        <w:autoSpaceDE w:val="0"/>
        <w:autoSpaceDN w:val="0"/>
        <w:adjustRightInd w:val="0"/>
        <w:spacing w:after="120" w:line="240" w:lineRule="auto"/>
        <w:ind w:left="480" w:hanging="480"/>
        <w:rPr>
          <w:rFonts w:ascii="Times New Roman" w:hAnsi="Times New Roman"/>
          <w:noProof/>
          <w:sz w:val="20"/>
          <w:szCs w:val="24"/>
          <w:lang w:val="en-US"/>
        </w:rPr>
      </w:pPr>
      <w:r w:rsidRPr="004E037D">
        <w:rPr>
          <w:rFonts w:ascii="Times New Roman" w:hAnsi="Times New Roman"/>
          <w:noProof/>
          <w:sz w:val="20"/>
          <w:szCs w:val="24"/>
          <w:lang w:val="en-US"/>
        </w:rPr>
        <w:t xml:space="preserve">Williams, D., &amp; Thomas, S. (2017). The impact of austerity on the health workforce and the achievement of human resources for health policies in Ireland (2008–2014). </w:t>
      </w:r>
      <w:r w:rsidRPr="004E037D">
        <w:rPr>
          <w:rFonts w:ascii="Times New Roman" w:hAnsi="Times New Roman"/>
          <w:i/>
          <w:iCs/>
          <w:noProof/>
          <w:sz w:val="20"/>
          <w:szCs w:val="24"/>
          <w:lang w:val="en-US"/>
        </w:rPr>
        <w:t>Human Resources for Health</w:t>
      </w:r>
      <w:r w:rsidRPr="004E037D">
        <w:rPr>
          <w:rFonts w:ascii="Times New Roman" w:hAnsi="Times New Roman"/>
          <w:noProof/>
          <w:sz w:val="20"/>
          <w:szCs w:val="24"/>
          <w:lang w:val="en-US"/>
        </w:rPr>
        <w:t xml:space="preserve">, </w:t>
      </w:r>
      <w:r w:rsidRPr="004E037D">
        <w:rPr>
          <w:rFonts w:ascii="Times New Roman" w:hAnsi="Times New Roman"/>
          <w:i/>
          <w:iCs/>
          <w:noProof/>
          <w:sz w:val="20"/>
          <w:szCs w:val="24"/>
          <w:lang w:val="en-US"/>
        </w:rPr>
        <w:t>15</w:t>
      </w:r>
      <w:r w:rsidRPr="004E037D">
        <w:rPr>
          <w:rFonts w:ascii="Times New Roman" w:hAnsi="Times New Roman"/>
          <w:noProof/>
          <w:sz w:val="20"/>
          <w:szCs w:val="24"/>
          <w:lang w:val="en-US"/>
        </w:rPr>
        <w:t>(1), 62. https://doi.org/10.1186/s12960-017-0230-3</w:t>
      </w:r>
    </w:p>
    <w:p w:rsidR="00877EC3" w:rsidRPr="004E037D" w:rsidRDefault="00877EC3" w:rsidP="00877EC3">
      <w:pPr>
        <w:widowControl w:val="0"/>
        <w:autoSpaceDE w:val="0"/>
        <w:autoSpaceDN w:val="0"/>
        <w:adjustRightInd w:val="0"/>
        <w:spacing w:after="120" w:line="240" w:lineRule="auto"/>
        <w:ind w:left="480" w:hanging="480"/>
        <w:rPr>
          <w:rFonts w:ascii="Times New Roman" w:hAnsi="Times New Roman"/>
          <w:noProof/>
          <w:sz w:val="20"/>
          <w:lang w:val="en-US"/>
        </w:rPr>
      </w:pPr>
      <w:r w:rsidRPr="004E037D">
        <w:rPr>
          <w:rFonts w:ascii="Times New Roman" w:hAnsi="Times New Roman"/>
          <w:noProof/>
          <w:sz w:val="20"/>
          <w:szCs w:val="24"/>
          <w:lang w:val="en-US"/>
        </w:rPr>
        <w:t xml:space="preserve">Zhu, W., Yang, X., Ge, H., &amp; Xie, B. (2017). Cost-efficiency of buses using stochastic frontier analysis. </w:t>
      </w:r>
      <w:r w:rsidRPr="004E037D">
        <w:rPr>
          <w:rFonts w:ascii="Times New Roman" w:hAnsi="Times New Roman"/>
          <w:i/>
          <w:iCs/>
          <w:noProof/>
          <w:sz w:val="20"/>
          <w:szCs w:val="24"/>
          <w:lang w:val="en-US"/>
        </w:rPr>
        <w:t>Proceedings of the Institution of Civil Engineers: Transport</w:t>
      </w:r>
      <w:r w:rsidRPr="004E037D">
        <w:rPr>
          <w:rFonts w:ascii="Times New Roman" w:hAnsi="Times New Roman"/>
          <w:noProof/>
          <w:sz w:val="20"/>
          <w:szCs w:val="24"/>
          <w:lang w:val="en-US"/>
        </w:rPr>
        <w:t xml:space="preserve">, </w:t>
      </w:r>
      <w:r w:rsidRPr="004E037D">
        <w:rPr>
          <w:rFonts w:ascii="Times New Roman" w:hAnsi="Times New Roman"/>
          <w:i/>
          <w:iCs/>
          <w:noProof/>
          <w:sz w:val="20"/>
          <w:szCs w:val="24"/>
          <w:lang w:val="en-US"/>
        </w:rPr>
        <w:t>170</w:t>
      </w:r>
      <w:r w:rsidRPr="004E037D">
        <w:rPr>
          <w:rFonts w:ascii="Times New Roman" w:hAnsi="Times New Roman"/>
          <w:noProof/>
          <w:sz w:val="20"/>
          <w:szCs w:val="24"/>
          <w:lang w:val="en-US"/>
        </w:rPr>
        <w:t>(4). https://doi.org/10.1680/jtran.14.00084</w:t>
      </w:r>
    </w:p>
    <w:p w:rsidR="00E0113C" w:rsidRDefault="007571E5" w:rsidP="007571E5">
      <w:pPr>
        <w:spacing w:after="120"/>
        <w:jc w:val="both"/>
        <w:rPr>
          <w:rFonts w:ascii="Times New Roman" w:hAnsi="Times New Roman"/>
          <w:sz w:val="20"/>
          <w:szCs w:val="20"/>
        </w:rPr>
      </w:pPr>
      <w:r>
        <w:rPr>
          <w:rFonts w:ascii="Times New Roman" w:hAnsi="Times New Roman"/>
          <w:sz w:val="20"/>
          <w:szCs w:val="20"/>
        </w:rPr>
        <w:fldChar w:fldCharType="end"/>
      </w:r>
    </w:p>
    <w:p w:rsidR="00B04288" w:rsidRDefault="00B04288" w:rsidP="007571E5">
      <w:pPr>
        <w:spacing w:after="120"/>
        <w:jc w:val="both"/>
        <w:rPr>
          <w:rFonts w:ascii="Times New Roman" w:hAnsi="Times New Roman"/>
          <w:sz w:val="20"/>
          <w:szCs w:val="20"/>
        </w:rPr>
      </w:pPr>
    </w:p>
    <w:p w:rsidR="00B04288" w:rsidRDefault="00B04288" w:rsidP="007571E5">
      <w:pPr>
        <w:spacing w:after="120"/>
        <w:jc w:val="both"/>
        <w:rPr>
          <w:rFonts w:ascii="Times New Roman" w:hAnsi="Times New Roman"/>
          <w:sz w:val="24"/>
          <w:szCs w:val="24"/>
        </w:rPr>
      </w:pPr>
      <w:r>
        <w:rPr>
          <w:rFonts w:ascii="Times New Roman" w:hAnsi="Times New Roman"/>
          <w:sz w:val="24"/>
          <w:szCs w:val="24"/>
        </w:rPr>
        <w:t>Davi Lima Bianchesi Santos</w:t>
      </w:r>
    </w:p>
    <w:p w:rsidR="00B04288" w:rsidRPr="00B04288" w:rsidRDefault="00B04288" w:rsidP="007571E5">
      <w:pPr>
        <w:spacing w:after="120"/>
        <w:jc w:val="both"/>
        <w:rPr>
          <w:rFonts w:ascii="Times New Roman" w:hAnsi="Times New Roman"/>
          <w:sz w:val="24"/>
          <w:szCs w:val="24"/>
          <w:lang w:val="en-US"/>
        </w:rPr>
      </w:pPr>
      <w:r>
        <w:rPr>
          <w:rFonts w:ascii="Times New Roman" w:hAnsi="Times New Roman"/>
          <w:sz w:val="24"/>
          <w:szCs w:val="24"/>
        </w:rPr>
        <w:t>Nº USP: 10287458</w:t>
      </w:r>
    </w:p>
    <w:p w:rsidR="00E0113C" w:rsidRPr="00E0113C" w:rsidRDefault="00E0113C">
      <w:pPr>
        <w:spacing w:after="120"/>
        <w:jc w:val="both"/>
        <w:rPr>
          <w:rFonts w:ascii="Times New Roman" w:hAnsi="Times New Roman"/>
          <w:sz w:val="24"/>
          <w:szCs w:val="24"/>
          <w:lang w:val="en-US"/>
        </w:rPr>
      </w:pPr>
    </w:p>
    <w:sectPr w:rsidR="00E0113C" w:rsidRPr="00E0113C" w:rsidSect="001271E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3E" w:rsidRDefault="00204F3E" w:rsidP="00F16798">
      <w:pPr>
        <w:spacing w:after="0" w:line="240" w:lineRule="auto"/>
      </w:pPr>
      <w:r>
        <w:separator/>
      </w:r>
    </w:p>
  </w:endnote>
  <w:endnote w:type="continuationSeparator" w:id="0">
    <w:p w:rsidR="00204F3E" w:rsidRDefault="00204F3E" w:rsidP="00F1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3E" w:rsidRDefault="00204F3E" w:rsidP="00F16798">
      <w:pPr>
        <w:spacing w:after="0" w:line="240" w:lineRule="auto"/>
      </w:pPr>
      <w:r>
        <w:separator/>
      </w:r>
    </w:p>
  </w:footnote>
  <w:footnote w:type="continuationSeparator" w:id="0">
    <w:p w:rsidR="00204F3E" w:rsidRDefault="00204F3E" w:rsidP="00F16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E68"/>
    <w:multiLevelType w:val="hybridMultilevel"/>
    <w:tmpl w:val="4156F582"/>
    <w:lvl w:ilvl="0" w:tplc="ECAE915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2F47F5"/>
    <w:multiLevelType w:val="hybridMultilevel"/>
    <w:tmpl w:val="B46E8600"/>
    <w:lvl w:ilvl="0" w:tplc="21066066">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nsid w:val="19242F2C"/>
    <w:multiLevelType w:val="hybridMultilevel"/>
    <w:tmpl w:val="43E4D2A0"/>
    <w:lvl w:ilvl="0" w:tplc="7598C67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137286"/>
    <w:multiLevelType w:val="hybridMultilevel"/>
    <w:tmpl w:val="C1D21EB4"/>
    <w:lvl w:ilvl="0" w:tplc="C5CE1C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9F72608"/>
    <w:multiLevelType w:val="hybridMultilevel"/>
    <w:tmpl w:val="B56ECE92"/>
    <w:lvl w:ilvl="0" w:tplc="9A48371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634A0C"/>
    <w:multiLevelType w:val="hybridMultilevel"/>
    <w:tmpl w:val="BC0E0282"/>
    <w:lvl w:ilvl="0" w:tplc="A7AC0CAE">
      <w:start w:val="2"/>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6">
    <w:nsid w:val="4B233D0F"/>
    <w:multiLevelType w:val="hybridMultilevel"/>
    <w:tmpl w:val="7F6484F2"/>
    <w:lvl w:ilvl="0" w:tplc="85825C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2106E38"/>
    <w:multiLevelType w:val="hybridMultilevel"/>
    <w:tmpl w:val="BD725A70"/>
    <w:lvl w:ilvl="0" w:tplc="08E456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DD3CFE"/>
    <w:multiLevelType w:val="hybridMultilevel"/>
    <w:tmpl w:val="9390992A"/>
    <w:lvl w:ilvl="0" w:tplc="ABA45B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0E00C3"/>
    <w:multiLevelType w:val="hybridMultilevel"/>
    <w:tmpl w:val="CF8267C4"/>
    <w:lvl w:ilvl="0" w:tplc="0108D2FC">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67266CF"/>
    <w:multiLevelType w:val="hybridMultilevel"/>
    <w:tmpl w:val="B83C7F7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7A7E1587"/>
    <w:multiLevelType w:val="hybridMultilevel"/>
    <w:tmpl w:val="00BC63B6"/>
    <w:lvl w:ilvl="0" w:tplc="774E8C1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6"/>
  </w:num>
  <w:num w:numId="5">
    <w:abstractNumId w:val="3"/>
  </w:num>
  <w:num w:numId="6">
    <w:abstractNumId w:val="2"/>
  </w:num>
  <w:num w:numId="7">
    <w:abstractNumId w:val="7"/>
  </w:num>
  <w:num w:numId="8">
    <w:abstractNumId w:val="8"/>
  </w:num>
  <w:num w:numId="9">
    <w:abstractNumId w:val="0"/>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09"/>
    <w:rsid w:val="000039C6"/>
    <w:rsid w:val="00020A2E"/>
    <w:rsid w:val="00044239"/>
    <w:rsid w:val="000529D6"/>
    <w:rsid w:val="000734AB"/>
    <w:rsid w:val="0008049B"/>
    <w:rsid w:val="00087A41"/>
    <w:rsid w:val="000B34D1"/>
    <w:rsid w:val="000B5B4E"/>
    <w:rsid w:val="000C7A68"/>
    <w:rsid w:val="000D6375"/>
    <w:rsid w:val="000E29EE"/>
    <w:rsid w:val="00107583"/>
    <w:rsid w:val="001150E8"/>
    <w:rsid w:val="001271EE"/>
    <w:rsid w:val="00136D21"/>
    <w:rsid w:val="00151745"/>
    <w:rsid w:val="001572E7"/>
    <w:rsid w:val="00160F88"/>
    <w:rsid w:val="0016213F"/>
    <w:rsid w:val="00173BD0"/>
    <w:rsid w:val="0018714A"/>
    <w:rsid w:val="00187E7C"/>
    <w:rsid w:val="00190FC6"/>
    <w:rsid w:val="00196804"/>
    <w:rsid w:val="001A760C"/>
    <w:rsid w:val="001B5CB0"/>
    <w:rsid w:val="001D1739"/>
    <w:rsid w:val="001D2E70"/>
    <w:rsid w:val="001E3E6F"/>
    <w:rsid w:val="001F4AD4"/>
    <w:rsid w:val="001F6EFE"/>
    <w:rsid w:val="00204F3E"/>
    <w:rsid w:val="002158C9"/>
    <w:rsid w:val="00215C11"/>
    <w:rsid w:val="00233414"/>
    <w:rsid w:val="00242734"/>
    <w:rsid w:val="00262BDA"/>
    <w:rsid w:val="00263694"/>
    <w:rsid w:val="00267996"/>
    <w:rsid w:val="00277541"/>
    <w:rsid w:val="002C0DCE"/>
    <w:rsid w:val="002D15E3"/>
    <w:rsid w:val="002D6BA5"/>
    <w:rsid w:val="002E26BA"/>
    <w:rsid w:val="002F221A"/>
    <w:rsid w:val="00306E64"/>
    <w:rsid w:val="003168AA"/>
    <w:rsid w:val="003347C4"/>
    <w:rsid w:val="003408D3"/>
    <w:rsid w:val="00350398"/>
    <w:rsid w:val="00350C28"/>
    <w:rsid w:val="0036336A"/>
    <w:rsid w:val="0036364D"/>
    <w:rsid w:val="00367655"/>
    <w:rsid w:val="00377E61"/>
    <w:rsid w:val="0038478F"/>
    <w:rsid w:val="00385547"/>
    <w:rsid w:val="0039010A"/>
    <w:rsid w:val="003C354C"/>
    <w:rsid w:val="003C53F8"/>
    <w:rsid w:val="003D096A"/>
    <w:rsid w:val="003D199A"/>
    <w:rsid w:val="003E1E09"/>
    <w:rsid w:val="003F2EF3"/>
    <w:rsid w:val="003F36C9"/>
    <w:rsid w:val="0040215C"/>
    <w:rsid w:val="00403238"/>
    <w:rsid w:val="00406663"/>
    <w:rsid w:val="004107ED"/>
    <w:rsid w:val="00413580"/>
    <w:rsid w:val="004137FB"/>
    <w:rsid w:val="00443A46"/>
    <w:rsid w:val="004527F0"/>
    <w:rsid w:val="00461C37"/>
    <w:rsid w:val="00462144"/>
    <w:rsid w:val="00463301"/>
    <w:rsid w:val="004907B7"/>
    <w:rsid w:val="004942D5"/>
    <w:rsid w:val="004A0AC6"/>
    <w:rsid w:val="004B26BB"/>
    <w:rsid w:val="004B5AAF"/>
    <w:rsid w:val="004C265C"/>
    <w:rsid w:val="004C2B82"/>
    <w:rsid w:val="004E037D"/>
    <w:rsid w:val="004F29C8"/>
    <w:rsid w:val="00515AF4"/>
    <w:rsid w:val="005161A4"/>
    <w:rsid w:val="005302A9"/>
    <w:rsid w:val="0053100C"/>
    <w:rsid w:val="00531380"/>
    <w:rsid w:val="00532C51"/>
    <w:rsid w:val="00537C68"/>
    <w:rsid w:val="0054769D"/>
    <w:rsid w:val="00550C3C"/>
    <w:rsid w:val="005563B3"/>
    <w:rsid w:val="00562E8B"/>
    <w:rsid w:val="005733CD"/>
    <w:rsid w:val="005740C7"/>
    <w:rsid w:val="0058028F"/>
    <w:rsid w:val="00581B7E"/>
    <w:rsid w:val="0059259E"/>
    <w:rsid w:val="00594CB2"/>
    <w:rsid w:val="0059773B"/>
    <w:rsid w:val="005A3144"/>
    <w:rsid w:val="005A7CE5"/>
    <w:rsid w:val="005B0AC0"/>
    <w:rsid w:val="005B7224"/>
    <w:rsid w:val="005D0ED9"/>
    <w:rsid w:val="005D13FE"/>
    <w:rsid w:val="005D304D"/>
    <w:rsid w:val="005E4A33"/>
    <w:rsid w:val="005E651A"/>
    <w:rsid w:val="005F45AE"/>
    <w:rsid w:val="00607B4E"/>
    <w:rsid w:val="00630396"/>
    <w:rsid w:val="00647218"/>
    <w:rsid w:val="00650066"/>
    <w:rsid w:val="0065052F"/>
    <w:rsid w:val="00653B7A"/>
    <w:rsid w:val="006676BD"/>
    <w:rsid w:val="00682A83"/>
    <w:rsid w:val="00687F57"/>
    <w:rsid w:val="00691928"/>
    <w:rsid w:val="00692AB4"/>
    <w:rsid w:val="006A2D39"/>
    <w:rsid w:val="006A6D68"/>
    <w:rsid w:val="006B0524"/>
    <w:rsid w:val="006C01D5"/>
    <w:rsid w:val="006C1D93"/>
    <w:rsid w:val="006C7947"/>
    <w:rsid w:val="006D0921"/>
    <w:rsid w:val="006D297B"/>
    <w:rsid w:val="006D68EC"/>
    <w:rsid w:val="006E093D"/>
    <w:rsid w:val="006F233A"/>
    <w:rsid w:val="00711793"/>
    <w:rsid w:val="007141AB"/>
    <w:rsid w:val="00726C58"/>
    <w:rsid w:val="0073124B"/>
    <w:rsid w:val="00735541"/>
    <w:rsid w:val="0073774A"/>
    <w:rsid w:val="00741099"/>
    <w:rsid w:val="00756165"/>
    <w:rsid w:val="007571E5"/>
    <w:rsid w:val="00760E72"/>
    <w:rsid w:val="0077627B"/>
    <w:rsid w:val="00785FEB"/>
    <w:rsid w:val="007B4A55"/>
    <w:rsid w:val="007B71F6"/>
    <w:rsid w:val="007C153C"/>
    <w:rsid w:val="007D3B0D"/>
    <w:rsid w:val="007E14E4"/>
    <w:rsid w:val="007F1BB0"/>
    <w:rsid w:val="007F492C"/>
    <w:rsid w:val="007F6C14"/>
    <w:rsid w:val="008053D3"/>
    <w:rsid w:val="00806D6B"/>
    <w:rsid w:val="00810C36"/>
    <w:rsid w:val="00815CD4"/>
    <w:rsid w:val="008175B7"/>
    <w:rsid w:val="00822665"/>
    <w:rsid w:val="00830DF3"/>
    <w:rsid w:val="00877EC3"/>
    <w:rsid w:val="00885FC7"/>
    <w:rsid w:val="008A2795"/>
    <w:rsid w:val="008C739D"/>
    <w:rsid w:val="008D3AC1"/>
    <w:rsid w:val="008F542C"/>
    <w:rsid w:val="008F58F4"/>
    <w:rsid w:val="0090047A"/>
    <w:rsid w:val="00901EE8"/>
    <w:rsid w:val="00926F11"/>
    <w:rsid w:val="0094551F"/>
    <w:rsid w:val="00951301"/>
    <w:rsid w:val="00953C27"/>
    <w:rsid w:val="0096748F"/>
    <w:rsid w:val="00984A17"/>
    <w:rsid w:val="0099397E"/>
    <w:rsid w:val="009A75A7"/>
    <w:rsid w:val="009B3693"/>
    <w:rsid w:val="009D22E4"/>
    <w:rsid w:val="009E330F"/>
    <w:rsid w:val="00A067CC"/>
    <w:rsid w:val="00A10768"/>
    <w:rsid w:val="00A120B5"/>
    <w:rsid w:val="00A129A4"/>
    <w:rsid w:val="00A15A01"/>
    <w:rsid w:val="00A1740F"/>
    <w:rsid w:val="00A200F5"/>
    <w:rsid w:val="00A24BB8"/>
    <w:rsid w:val="00A24E40"/>
    <w:rsid w:val="00A41F19"/>
    <w:rsid w:val="00A55F5B"/>
    <w:rsid w:val="00A7022E"/>
    <w:rsid w:val="00A702BF"/>
    <w:rsid w:val="00AA24DB"/>
    <w:rsid w:val="00AA3B89"/>
    <w:rsid w:val="00AA7B59"/>
    <w:rsid w:val="00AB4A77"/>
    <w:rsid w:val="00AC79BA"/>
    <w:rsid w:val="00AC7F45"/>
    <w:rsid w:val="00AE05BD"/>
    <w:rsid w:val="00AF0AA9"/>
    <w:rsid w:val="00AF3E59"/>
    <w:rsid w:val="00AF7E9C"/>
    <w:rsid w:val="00B04288"/>
    <w:rsid w:val="00B109E5"/>
    <w:rsid w:val="00B26D41"/>
    <w:rsid w:val="00B330A2"/>
    <w:rsid w:val="00B37CAA"/>
    <w:rsid w:val="00B50F0E"/>
    <w:rsid w:val="00B57EC5"/>
    <w:rsid w:val="00B617AE"/>
    <w:rsid w:val="00B7577C"/>
    <w:rsid w:val="00B855E4"/>
    <w:rsid w:val="00B902E8"/>
    <w:rsid w:val="00BA0242"/>
    <w:rsid w:val="00BA14CE"/>
    <w:rsid w:val="00BC1B71"/>
    <w:rsid w:val="00BC20D5"/>
    <w:rsid w:val="00BC29DE"/>
    <w:rsid w:val="00BE34D2"/>
    <w:rsid w:val="00BE5E9B"/>
    <w:rsid w:val="00BE6D4A"/>
    <w:rsid w:val="00BF5823"/>
    <w:rsid w:val="00BF63D2"/>
    <w:rsid w:val="00C04338"/>
    <w:rsid w:val="00C04361"/>
    <w:rsid w:val="00C06FAF"/>
    <w:rsid w:val="00C11968"/>
    <w:rsid w:val="00C20C32"/>
    <w:rsid w:val="00C23777"/>
    <w:rsid w:val="00C25E92"/>
    <w:rsid w:val="00C40346"/>
    <w:rsid w:val="00C43B34"/>
    <w:rsid w:val="00C452FF"/>
    <w:rsid w:val="00C4594D"/>
    <w:rsid w:val="00C53023"/>
    <w:rsid w:val="00C53696"/>
    <w:rsid w:val="00C61995"/>
    <w:rsid w:val="00C71C1B"/>
    <w:rsid w:val="00C76A68"/>
    <w:rsid w:val="00C90FC0"/>
    <w:rsid w:val="00C96147"/>
    <w:rsid w:val="00CA3551"/>
    <w:rsid w:val="00CB45FC"/>
    <w:rsid w:val="00CD519E"/>
    <w:rsid w:val="00CE6613"/>
    <w:rsid w:val="00CF1BF1"/>
    <w:rsid w:val="00CF38DC"/>
    <w:rsid w:val="00CF48B1"/>
    <w:rsid w:val="00D10F51"/>
    <w:rsid w:val="00D15773"/>
    <w:rsid w:val="00D3037F"/>
    <w:rsid w:val="00D53D3E"/>
    <w:rsid w:val="00D60ED1"/>
    <w:rsid w:val="00D63F59"/>
    <w:rsid w:val="00D64A55"/>
    <w:rsid w:val="00D817F5"/>
    <w:rsid w:val="00D83D3D"/>
    <w:rsid w:val="00D929AF"/>
    <w:rsid w:val="00DB2662"/>
    <w:rsid w:val="00DB3998"/>
    <w:rsid w:val="00DB7C02"/>
    <w:rsid w:val="00DF3BDD"/>
    <w:rsid w:val="00E0113C"/>
    <w:rsid w:val="00E1277B"/>
    <w:rsid w:val="00E134DB"/>
    <w:rsid w:val="00E151D5"/>
    <w:rsid w:val="00E21D2A"/>
    <w:rsid w:val="00E273C9"/>
    <w:rsid w:val="00E30FA6"/>
    <w:rsid w:val="00E377C9"/>
    <w:rsid w:val="00E43F40"/>
    <w:rsid w:val="00E4443A"/>
    <w:rsid w:val="00E555E6"/>
    <w:rsid w:val="00E72E46"/>
    <w:rsid w:val="00E81FBA"/>
    <w:rsid w:val="00E9516D"/>
    <w:rsid w:val="00E95823"/>
    <w:rsid w:val="00EA5224"/>
    <w:rsid w:val="00ED3F69"/>
    <w:rsid w:val="00ED710F"/>
    <w:rsid w:val="00EE01DC"/>
    <w:rsid w:val="00EE3A17"/>
    <w:rsid w:val="00EE66ED"/>
    <w:rsid w:val="00F00181"/>
    <w:rsid w:val="00F001A9"/>
    <w:rsid w:val="00F011AB"/>
    <w:rsid w:val="00F02288"/>
    <w:rsid w:val="00F1324B"/>
    <w:rsid w:val="00F16798"/>
    <w:rsid w:val="00F228E5"/>
    <w:rsid w:val="00F2790E"/>
    <w:rsid w:val="00F32C0F"/>
    <w:rsid w:val="00F54093"/>
    <w:rsid w:val="00F563B7"/>
    <w:rsid w:val="00F57AC1"/>
    <w:rsid w:val="00F57C18"/>
    <w:rsid w:val="00F6455D"/>
    <w:rsid w:val="00F67C15"/>
    <w:rsid w:val="00F72ECD"/>
    <w:rsid w:val="00F80633"/>
    <w:rsid w:val="00F964AC"/>
    <w:rsid w:val="00F96D8F"/>
    <w:rsid w:val="00FA1B26"/>
    <w:rsid w:val="00FA42B4"/>
    <w:rsid w:val="00FA52EA"/>
    <w:rsid w:val="00FC0386"/>
    <w:rsid w:val="00FC0432"/>
    <w:rsid w:val="00FC59AD"/>
    <w:rsid w:val="00FC6156"/>
    <w:rsid w:val="00FD5173"/>
    <w:rsid w:val="00FD75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9E"/>
    <w:pPr>
      <w:spacing w:after="200" w:line="276" w:lineRule="auto"/>
    </w:pPr>
    <w:rPr>
      <w:rFonts w:eastAsia="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SombreamentoClaro1">
    <w:name w:val="Sombreamento Claro1"/>
    <w:rsid w:val="00D60ED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nfase11">
    <w:name w:val="Sombreamento Claro - Ênfase 11"/>
    <w:rsid w:val="00D60ED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elacomgrade">
    <w:name w:val="Table Grid"/>
    <w:basedOn w:val="Tabelanormal"/>
    <w:locked/>
    <w:rsid w:val="00D60E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adeMdia11">
    <w:name w:val="Grade Média 11"/>
    <w:rsid w:val="00D60ED1"/>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character" w:customStyle="1" w:styleId="hps">
    <w:name w:val="hps"/>
    <w:rsid w:val="00D929AF"/>
  </w:style>
  <w:style w:type="character" w:customStyle="1" w:styleId="hpsatn">
    <w:name w:val="hps atn"/>
    <w:rsid w:val="00D929AF"/>
  </w:style>
  <w:style w:type="character" w:customStyle="1" w:styleId="apple-converted-space">
    <w:name w:val="apple-converted-space"/>
    <w:rsid w:val="00AF0AA9"/>
  </w:style>
  <w:style w:type="paragraph" w:styleId="Textodebalo">
    <w:name w:val="Balloon Text"/>
    <w:basedOn w:val="Normal"/>
    <w:link w:val="TextodebaloChar"/>
    <w:semiHidden/>
    <w:unhideWhenUsed/>
    <w:rsid w:val="007B71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7B71F6"/>
    <w:rPr>
      <w:rFonts w:ascii="Tahoma" w:eastAsia="Times New Roman" w:hAnsi="Tahoma" w:cs="Tahoma"/>
      <w:sz w:val="16"/>
      <w:szCs w:val="16"/>
      <w:lang w:eastAsia="en-US"/>
    </w:rPr>
  </w:style>
  <w:style w:type="paragraph" w:styleId="NormalWeb">
    <w:name w:val="Normal (Web)"/>
    <w:basedOn w:val="Normal"/>
    <w:uiPriority w:val="99"/>
    <w:unhideWhenUsed/>
    <w:rsid w:val="005B0AC0"/>
    <w:pPr>
      <w:spacing w:before="100" w:beforeAutospacing="1" w:after="100" w:afterAutospacing="1" w:line="240" w:lineRule="auto"/>
    </w:pPr>
    <w:rPr>
      <w:rFonts w:ascii="Times New Roman" w:hAnsi="Times New Roman"/>
      <w:sz w:val="24"/>
      <w:szCs w:val="24"/>
      <w:lang w:eastAsia="pt-BR"/>
    </w:rPr>
  </w:style>
  <w:style w:type="paragraph" w:styleId="Cabealho">
    <w:name w:val="header"/>
    <w:basedOn w:val="Normal"/>
    <w:link w:val="CabealhoChar"/>
    <w:unhideWhenUsed/>
    <w:rsid w:val="00F16798"/>
    <w:pPr>
      <w:tabs>
        <w:tab w:val="center" w:pos="4252"/>
        <w:tab w:val="right" w:pos="8504"/>
      </w:tabs>
      <w:spacing w:after="0" w:line="240" w:lineRule="auto"/>
    </w:pPr>
  </w:style>
  <w:style w:type="character" w:customStyle="1" w:styleId="CabealhoChar">
    <w:name w:val="Cabeçalho Char"/>
    <w:basedOn w:val="Fontepargpadro"/>
    <w:link w:val="Cabealho"/>
    <w:rsid w:val="00F16798"/>
    <w:rPr>
      <w:rFonts w:eastAsia="Times New Roman"/>
      <w:sz w:val="22"/>
      <w:szCs w:val="22"/>
      <w:lang w:eastAsia="en-US"/>
    </w:rPr>
  </w:style>
  <w:style w:type="paragraph" w:styleId="Rodap">
    <w:name w:val="footer"/>
    <w:basedOn w:val="Normal"/>
    <w:link w:val="RodapChar"/>
    <w:unhideWhenUsed/>
    <w:rsid w:val="00F16798"/>
    <w:pPr>
      <w:tabs>
        <w:tab w:val="center" w:pos="4252"/>
        <w:tab w:val="right" w:pos="8504"/>
      </w:tabs>
      <w:spacing w:after="0" w:line="240" w:lineRule="auto"/>
    </w:pPr>
  </w:style>
  <w:style w:type="character" w:customStyle="1" w:styleId="RodapChar">
    <w:name w:val="Rodapé Char"/>
    <w:basedOn w:val="Fontepargpadro"/>
    <w:link w:val="Rodap"/>
    <w:rsid w:val="00F16798"/>
    <w:rPr>
      <w:rFonts w:eastAsia="Times New Roman"/>
      <w:sz w:val="22"/>
      <w:szCs w:val="22"/>
      <w:lang w:eastAsia="en-US"/>
    </w:rPr>
  </w:style>
  <w:style w:type="paragraph" w:styleId="PargrafodaLista">
    <w:name w:val="List Paragraph"/>
    <w:basedOn w:val="Normal"/>
    <w:uiPriority w:val="34"/>
    <w:qFormat/>
    <w:rsid w:val="0036364D"/>
    <w:pPr>
      <w:ind w:left="720"/>
      <w:contextualSpacing/>
    </w:pPr>
  </w:style>
  <w:style w:type="paragraph" w:styleId="Legenda">
    <w:name w:val="caption"/>
    <w:basedOn w:val="Normal"/>
    <w:next w:val="Normal"/>
    <w:unhideWhenUsed/>
    <w:qFormat/>
    <w:locked/>
    <w:rsid w:val="00AC79B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9E"/>
    <w:pPr>
      <w:spacing w:after="200" w:line="276" w:lineRule="auto"/>
    </w:pPr>
    <w:rPr>
      <w:rFonts w:eastAsia="Times New Roman"/>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SombreamentoClaro1">
    <w:name w:val="Sombreamento Claro1"/>
    <w:rsid w:val="00D60ED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nfase11">
    <w:name w:val="Sombreamento Claro - Ênfase 11"/>
    <w:rsid w:val="00D60ED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elacomgrade">
    <w:name w:val="Table Grid"/>
    <w:basedOn w:val="Tabelanormal"/>
    <w:locked/>
    <w:rsid w:val="00D60E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adeMdia11">
    <w:name w:val="Grade Média 11"/>
    <w:rsid w:val="00D60ED1"/>
    <w:rPr>
      <w:rFonts w:eastAsia="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character" w:customStyle="1" w:styleId="hps">
    <w:name w:val="hps"/>
    <w:rsid w:val="00D929AF"/>
  </w:style>
  <w:style w:type="character" w:customStyle="1" w:styleId="hpsatn">
    <w:name w:val="hps atn"/>
    <w:rsid w:val="00D929AF"/>
  </w:style>
  <w:style w:type="character" w:customStyle="1" w:styleId="apple-converted-space">
    <w:name w:val="apple-converted-space"/>
    <w:rsid w:val="00AF0AA9"/>
  </w:style>
  <w:style w:type="paragraph" w:styleId="Textodebalo">
    <w:name w:val="Balloon Text"/>
    <w:basedOn w:val="Normal"/>
    <w:link w:val="TextodebaloChar"/>
    <w:semiHidden/>
    <w:unhideWhenUsed/>
    <w:rsid w:val="007B71F6"/>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7B71F6"/>
    <w:rPr>
      <w:rFonts w:ascii="Tahoma" w:eastAsia="Times New Roman" w:hAnsi="Tahoma" w:cs="Tahoma"/>
      <w:sz w:val="16"/>
      <w:szCs w:val="16"/>
      <w:lang w:eastAsia="en-US"/>
    </w:rPr>
  </w:style>
  <w:style w:type="paragraph" w:styleId="NormalWeb">
    <w:name w:val="Normal (Web)"/>
    <w:basedOn w:val="Normal"/>
    <w:uiPriority w:val="99"/>
    <w:unhideWhenUsed/>
    <w:rsid w:val="005B0AC0"/>
    <w:pPr>
      <w:spacing w:before="100" w:beforeAutospacing="1" w:after="100" w:afterAutospacing="1" w:line="240" w:lineRule="auto"/>
    </w:pPr>
    <w:rPr>
      <w:rFonts w:ascii="Times New Roman" w:hAnsi="Times New Roman"/>
      <w:sz w:val="24"/>
      <w:szCs w:val="24"/>
      <w:lang w:eastAsia="pt-BR"/>
    </w:rPr>
  </w:style>
  <w:style w:type="paragraph" w:styleId="Cabealho">
    <w:name w:val="header"/>
    <w:basedOn w:val="Normal"/>
    <w:link w:val="CabealhoChar"/>
    <w:unhideWhenUsed/>
    <w:rsid w:val="00F16798"/>
    <w:pPr>
      <w:tabs>
        <w:tab w:val="center" w:pos="4252"/>
        <w:tab w:val="right" w:pos="8504"/>
      </w:tabs>
      <w:spacing w:after="0" w:line="240" w:lineRule="auto"/>
    </w:pPr>
  </w:style>
  <w:style w:type="character" w:customStyle="1" w:styleId="CabealhoChar">
    <w:name w:val="Cabeçalho Char"/>
    <w:basedOn w:val="Fontepargpadro"/>
    <w:link w:val="Cabealho"/>
    <w:rsid w:val="00F16798"/>
    <w:rPr>
      <w:rFonts w:eastAsia="Times New Roman"/>
      <w:sz w:val="22"/>
      <w:szCs w:val="22"/>
      <w:lang w:eastAsia="en-US"/>
    </w:rPr>
  </w:style>
  <w:style w:type="paragraph" w:styleId="Rodap">
    <w:name w:val="footer"/>
    <w:basedOn w:val="Normal"/>
    <w:link w:val="RodapChar"/>
    <w:unhideWhenUsed/>
    <w:rsid w:val="00F16798"/>
    <w:pPr>
      <w:tabs>
        <w:tab w:val="center" w:pos="4252"/>
        <w:tab w:val="right" w:pos="8504"/>
      </w:tabs>
      <w:spacing w:after="0" w:line="240" w:lineRule="auto"/>
    </w:pPr>
  </w:style>
  <w:style w:type="character" w:customStyle="1" w:styleId="RodapChar">
    <w:name w:val="Rodapé Char"/>
    <w:basedOn w:val="Fontepargpadro"/>
    <w:link w:val="Rodap"/>
    <w:rsid w:val="00F16798"/>
    <w:rPr>
      <w:rFonts w:eastAsia="Times New Roman"/>
      <w:sz w:val="22"/>
      <w:szCs w:val="22"/>
      <w:lang w:eastAsia="en-US"/>
    </w:rPr>
  </w:style>
  <w:style w:type="paragraph" w:styleId="PargrafodaLista">
    <w:name w:val="List Paragraph"/>
    <w:basedOn w:val="Normal"/>
    <w:uiPriority w:val="34"/>
    <w:qFormat/>
    <w:rsid w:val="0036364D"/>
    <w:pPr>
      <w:ind w:left="720"/>
      <w:contextualSpacing/>
    </w:pPr>
  </w:style>
  <w:style w:type="paragraph" w:styleId="Legenda">
    <w:name w:val="caption"/>
    <w:basedOn w:val="Normal"/>
    <w:next w:val="Normal"/>
    <w:unhideWhenUsed/>
    <w:qFormat/>
    <w:locked/>
    <w:rsid w:val="00AC79B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74323419">
      <w:bodyDiv w:val="1"/>
      <w:marLeft w:val="0"/>
      <w:marRight w:val="0"/>
      <w:marTop w:val="0"/>
      <w:marBottom w:val="0"/>
      <w:divBdr>
        <w:top w:val="none" w:sz="0" w:space="0" w:color="auto"/>
        <w:left w:val="none" w:sz="0" w:space="0" w:color="auto"/>
        <w:bottom w:val="none" w:sz="0" w:space="0" w:color="auto"/>
        <w:right w:val="none" w:sz="0" w:space="0" w:color="auto"/>
      </w:divBdr>
    </w:div>
    <w:div w:id="582765140">
      <w:bodyDiv w:val="1"/>
      <w:marLeft w:val="0"/>
      <w:marRight w:val="0"/>
      <w:marTop w:val="0"/>
      <w:marBottom w:val="0"/>
      <w:divBdr>
        <w:top w:val="none" w:sz="0" w:space="0" w:color="auto"/>
        <w:left w:val="none" w:sz="0" w:space="0" w:color="auto"/>
        <w:bottom w:val="none" w:sz="0" w:space="0" w:color="auto"/>
        <w:right w:val="none" w:sz="0" w:space="0" w:color="auto"/>
      </w:divBdr>
    </w:div>
    <w:div w:id="783620637">
      <w:bodyDiv w:val="1"/>
      <w:marLeft w:val="0"/>
      <w:marRight w:val="0"/>
      <w:marTop w:val="0"/>
      <w:marBottom w:val="0"/>
      <w:divBdr>
        <w:top w:val="none" w:sz="0" w:space="0" w:color="auto"/>
        <w:left w:val="none" w:sz="0" w:space="0" w:color="auto"/>
        <w:bottom w:val="none" w:sz="0" w:space="0" w:color="auto"/>
        <w:right w:val="none" w:sz="0" w:space="0" w:color="auto"/>
      </w:divBdr>
    </w:div>
    <w:div w:id="14303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7B4C-B3B2-4D1A-BA78-C41D224A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9</Pages>
  <Words>3746</Words>
  <Characters>20231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GESTÃO DO CONHECIMENTO E INOVAÇÃO: UM ESTUDO BIBLIOMÉTRICO</vt:lpstr>
    </vt:vector>
  </TitlesOfParts>
  <Company>Microsoft</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GESTÃO DO CONHECIMENTO E INOVAÇÃO: UM ESTUDO BIBLIOMÉTRICO</dc:title>
  <dc:subject/>
  <dc:creator>LEIA</dc:creator>
  <cp:keywords/>
  <cp:lastModifiedBy>User</cp:lastModifiedBy>
  <cp:revision>14</cp:revision>
  <cp:lastPrinted>2013-07-19T14:46:00Z</cp:lastPrinted>
  <dcterms:created xsi:type="dcterms:W3CDTF">2017-12-17T15:50:00Z</dcterms:created>
  <dcterms:modified xsi:type="dcterms:W3CDTF">2017-12-18T01:18:00Z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e6aaec2d-b564-351b-9e28-8f12834a6e77</vt:lpwstr>
  </property>
  <property fmtid="{D5CDD505-2E9C-101B-9397-08002B2CF9AE}" pid="24" name="Mendeley Citation Style_1">
    <vt:lpwstr>http://www.zotero.org/styles/apa</vt:lpwstr>
  </property>
</Properties>
</file>