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56" w:rsidRPr="00C70056" w:rsidRDefault="00C70056" w:rsidP="00C7005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pt-BR"/>
        </w:rPr>
      </w:pPr>
      <w:bookmarkStart w:id="0" w:name="_GoBack"/>
      <w:bookmarkEnd w:id="0"/>
      <w:r w:rsidRPr="00C70056">
        <w:rPr>
          <w:rFonts w:eastAsia="Times New Roman" w:cs="Times New Roman"/>
          <w:b/>
          <w:bCs/>
          <w:kern w:val="36"/>
          <w:lang w:eastAsia="pt-BR"/>
        </w:rPr>
        <w:t>Dissecando o ensino superior até 2018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proofErr w:type="spellStart"/>
      <w:r w:rsidRPr="00C70056">
        <w:rPr>
          <w:rFonts w:eastAsia="Times New Roman" w:cs="Times New Roman"/>
          <w:lang w:eastAsia="pt-BR"/>
        </w:rPr>
        <w:t>Horizon</w:t>
      </w:r>
      <w:proofErr w:type="spellEnd"/>
      <w:r w:rsidRPr="00C70056">
        <w:rPr>
          <w:rFonts w:eastAsia="Times New Roman" w:cs="Times New Roman"/>
          <w:lang w:eastAsia="pt-BR"/>
        </w:rPr>
        <w:t xml:space="preserve"> </w:t>
      </w:r>
      <w:proofErr w:type="spellStart"/>
      <w:r w:rsidRPr="00C70056">
        <w:rPr>
          <w:rFonts w:eastAsia="Times New Roman" w:cs="Times New Roman"/>
          <w:lang w:eastAsia="pt-BR"/>
        </w:rPr>
        <w:t>Report</w:t>
      </w:r>
      <w:proofErr w:type="spellEnd"/>
      <w:r w:rsidRPr="00C70056">
        <w:rPr>
          <w:rFonts w:eastAsia="Times New Roman" w:cs="Times New Roman"/>
          <w:lang w:eastAsia="pt-BR"/>
        </w:rPr>
        <w:t xml:space="preserve"> para universidades traz </w:t>
      </w:r>
      <w:proofErr w:type="gramStart"/>
      <w:r w:rsidRPr="00C70056">
        <w:rPr>
          <w:rFonts w:eastAsia="Times New Roman" w:cs="Times New Roman"/>
          <w:lang w:eastAsia="pt-BR"/>
        </w:rPr>
        <w:t>6</w:t>
      </w:r>
      <w:proofErr w:type="gramEnd"/>
      <w:r w:rsidRPr="00C70056">
        <w:rPr>
          <w:rFonts w:eastAsia="Times New Roman" w:cs="Times New Roman"/>
          <w:lang w:eastAsia="pt-BR"/>
        </w:rPr>
        <w:t xml:space="preserve"> tecnologias, 6 tendências e 6 desafios que educação enfrentará em 5 anos</w:t>
      </w:r>
    </w:p>
    <w:p w:rsidR="00C70056" w:rsidRPr="00C70056" w:rsidRDefault="00C70056" w:rsidP="00C70056">
      <w:pPr>
        <w:spacing w:after="0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lang w:eastAsia="pt-BR"/>
        </w:rPr>
        <w:t xml:space="preserve">29/04/13 // </w:t>
      </w:r>
      <w:hyperlink r:id="rId5" w:history="1">
        <w:r w:rsidRPr="00C70056">
          <w:rPr>
            <w:rFonts w:eastAsia="Times New Roman" w:cs="Times New Roman"/>
            <w:color w:val="0000FF"/>
            <w:u w:val="single"/>
            <w:lang w:eastAsia="pt-BR"/>
          </w:rPr>
          <w:t>Empresa</w:t>
        </w:r>
      </w:hyperlink>
      <w:r w:rsidRPr="00C70056">
        <w:rPr>
          <w:rFonts w:eastAsia="Times New Roman" w:cs="Times New Roman"/>
          <w:lang w:eastAsia="pt-BR"/>
        </w:rPr>
        <w:t xml:space="preserve"> // </w:t>
      </w:r>
      <w:hyperlink r:id="rId6" w:history="1">
        <w:r w:rsidRPr="00C70056">
          <w:rPr>
            <w:rFonts w:eastAsia="Times New Roman" w:cs="Times New Roman"/>
            <w:color w:val="0000FF"/>
            <w:u w:val="single"/>
            <w:lang w:eastAsia="pt-BR"/>
          </w:rPr>
          <w:t>Governo</w:t>
        </w:r>
      </w:hyperlink>
      <w:r w:rsidRPr="00C70056">
        <w:rPr>
          <w:rFonts w:eastAsia="Times New Roman" w:cs="Times New Roman"/>
          <w:lang w:eastAsia="pt-BR"/>
        </w:rPr>
        <w:t xml:space="preserve"> // </w:t>
      </w:r>
      <w:hyperlink r:id="rId7" w:history="1">
        <w:r w:rsidRPr="00C70056">
          <w:rPr>
            <w:rFonts w:eastAsia="Times New Roman" w:cs="Times New Roman"/>
            <w:color w:val="0000FF"/>
            <w:u w:val="single"/>
            <w:lang w:eastAsia="pt-BR"/>
          </w:rPr>
          <w:t>On-line</w:t>
        </w:r>
      </w:hyperlink>
      <w:r w:rsidRPr="00C70056">
        <w:rPr>
          <w:rFonts w:eastAsia="Times New Roman" w:cs="Times New Roman"/>
          <w:lang w:eastAsia="pt-BR"/>
        </w:rPr>
        <w:t xml:space="preserve"> // </w:t>
      </w:r>
      <w:hyperlink r:id="rId8" w:history="1">
        <w:r w:rsidRPr="00C70056">
          <w:rPr>
            <w:rFonts w:eastAsia="Times New Roman" w:cs="Times New Roman"/>
            <w:color w:val="0000FF"/>
            <w:u w:val="single"/>
            <w:lang w:eastAsia="pt-BR"/>
          </w:rPr>
          <w:t>Organização Social</w:t>
        </w:r>
      </w:hyperlink>
      <w:r w:rsidRPr="00C70056">
        <w:rPr>
          <w:rFonts w:eastAsia="Times New Roman" w:cs="Times New Roman"/>
          <w:lang w:eastAsia="pt-BR"/>
        </w:rPr>
        <w:t xml:space="preserve"> // </w:t>
      </w:r>
      <w:hyperlink r:id="rId9" w:history="1">
        <w:r w:rsidRPr="00C70056">
          <w:rPr>
            <w:rFonts w:eastAsia="Times New Roman" w:cs="Times New Roman"/>
            <w:color w:val="0000FF"/>
            <w:u w:val="single"/>
            <w:lang w:eastAsia="pt-BR"/>
          </w:rPr>
          <w:t>Universidade</w:t>
        </w:r>
      </w:hyperlink>
      <w:r w:rsidRPr="00C70056">
        <w:rPr>
          <w:rFonts w:eastAsia="Times New Roman" w:cs="Times New Roman"/>
          <w:lang w:eastAsia="pt-BR"/>
        </w:rPr>
        <w:t xml:space="preserve"> // </w:t>
      </w:r>
      <w:hyperlink r:id="rId10" w:history="1">
        <w:r w:rsidRPr="00C70056">
          <w:rPr>
            <w:rFonts w:eastAsia="Times New Roman" w:cs="Times New Roman"/>
            <w:color w:val="0000FF"/>
            <w:u w:val="single"/>
            <w:lang w:eastAsia="pt-BR"/>
          </w:rPr>
          <w:t>Internacional</w:t>
        </w:r>
      </w:hyperlink>
      <w:r w:rsidRPr="00C70056">
        <w:rPr>
          <w:rFonts w:eastAsia="Times New Roman" w:cs="Times New Roman"/>
          <w:lang w:eastAsia="pt-BR"/>
        </w:rPr>
        <w:t xml:space="preserve"> </w:t>
      </w:r>
      <w:r w:rsidRPr="00C70056">
        <w:rPr>
          <w:rFonts w:eastAsia="Times New Roman" w:cs="Times New Roman"/>
          <w:lang w:eastAsia="pt-BR"/>
        </w:rPr>
        <w:br/>
      </w:r>
      <w:hyperlink r:id="rId11" w:tooltip="Posts de da redação" w:history="1">
        <w:r w:rsidRPr="00C70056">
          <w:rPr>
            <w:rFonts w:eastAsia="Times New Roman" w:cs="Times New Roman"/>
            <w:color w:val="0000FF"/>
            <w:u w:val="single"/>
            <w:lang w:eastAsia="pt-BR"/>
          </w:rPr>
          <w:t>da redação</w:t>
        </w:r>
      </w:hyperlink>
      <w:r w:rsidRPr="00C70056">
        <w:rPr>
          <w:rFonts w:eastAsia="Times New Roman" w:cs="Times New Roman"/>
          <w:lang w:eastAsia="pt-BR"/>
        </w:rPr>
        <w:t xml:space="preserve"> 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lang w:eastAsia="pt-BR"/>
        </w:rPr>
        <w:t xml:space="preserve">Acaba de sair do forno o </w:t>
      </w:r>
      <w:proofErr w:type="spellStart"/>
      <w:r w:rsidRPr="00C70056">
        <w:rPr>
          <w:rFonts w:eastAsia="Times New Roman" w:cs="Times New Roman"/>
          <w:lang w:eastAsia="pt-BR"/>
        </w:rPr>
        <w:t>Horizon</w:t>
      </w:r>
      <w:proofErr w:type="spellEnd"/>
      <w:r w:rsidRPr="00C70056">
        <w:rPr>
          <w:rFonts w:eastAsia="Times New Roman" w:cs="Times New Roman"/>
          <w:lang w:eastAsia="pt-BR"/>
        </w:rPr>
        <w:t xml:space="preserve"> </w:t>
      </w:r>
      <w:proofErr w:type="spellStart"/>
      <w:r w:rsidRPr="00C70056">
        <w:rPr>
          <w:rFonts w:eastAsia="Times New Roman" w:cs="Times New Roman"/>
          <w:lang w:eastAsia="pt-BR"/>
        </w:rPr>
        <w:t>Report</w:t>
      </w:r>
      <w:proofErr w:type="spellEnd"/>
      <w:r w:rsidRPr="00C70056">
        <w:rPr>
          <w:rFonts w:eastAsia="Times New Roman" w:cs="Times New Roman"/>
          <w:lang w:eastAsia="pt-BR"/>
        </w:rPr>
        <w:t xml:space="preserve"> 2013 voltado ao ensino superior. Já tradicional e esperado, o documento anual identifica seis tecnologias emergentes que deverão se tornar populares até 2018, seis tendências e seis desafios que as universidades devem ter no seu dia a dia para um período de até cinco anos. O grupo que ajudou a elaborar o relatório foi composto por 51 especialistas em educação, tecnologia e futuro, além de escritores e pensadores. Eles foram reunidos pelo NMC (New Media Consortium) e pela </w:t>
      </w:r>
      <w:proofErr w:type="spellStart"/>
      <w:r w:rsidRPr="00C70056">
        <w:rPr>
          <w:rFonts w:eastAsia="Times New Roman" w:cs="Times New Roman"/>
          <w:lang w:eastAsia="pt-BR"/>
        </w:rPr>
        <w:t>Educase</w:t>
      </w:r>
      <w:proofErr w:type="spellEnd"/>
      <w:r w:rsidRPr="00C70056">
        <w:rPr>
          <w:rFonts w:eastAsia="Times New Roman" w:cs="Times New Roman"/>
          <w:lang w:eastAsia="pt-BR"/>
        </w:rPr>
        <w:t xml:space="preserve"> Learning </w:t>
      </w:r>
      <w:proofErr w:type="spellStart"/>
      <w:r w:rsidRPr="00C70056">
        <w:rPr>
          <w:rFonts w:eastAsia="Times New Roman" w:cs="Times New Roman"/>
          <w:lang w:eastAsia="pt-BR"/>
        </w:rPr>
        <w:t>Initiave</w:t>
      </w:r>
      <w:proofErr w:type="spellEnd"/>
      <w:r w:rsidRPr="00C70056">
        <w:rPr>
          <w:rFonts w:eastAsia="Times New Roman" w:cs="Times New Roman"/>
          <w:lang w:eastAsia="pt-BR"/>
        </w:rPr>
        <w:t xml:space="preserve">, </w:t>
      </w:r>
      <w:proofErr w:type="gramStart"/>
      <w:r w:rsidRPr="00C70056">
        <w:rPr>
          <w:rFonts w:eastAsia="Times New Roman" w:cs="Times New Roman"/>
          <w:lang w:eastAsia="pt-BR"/>
        </w:rPr>
        <w:t>ambas</w:t>
      </w:r>
      <w:proofErr w:type="gramEnd"/>
      <w:r w:rsidRPr="00C70056">
        <w:rPr>
          <w:rFonts w:eastAsia="Times New Roman" w:cs="Times New Roman"/>
          <w:lang w:eastAsia="pt-BR"/>
        </w:rPr>
        <w:t xml:space="preserve"> organizações localizadas nos EUA e dedicadas ao estudo das tendências na educação. Confira, a seguir, as três listas.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proofErr w:type="gramStart"/>
      <w:r w:rsidRPr="00C70056">
        <w:rPr>
          <w:rFonts w:eastAsia="Times New Roman" w:cs="Times New Roman"/>
          <w:b/>
          <w:bCs/>
          <w:lang w:eastAsia="pt-BR"/>
        </w:rPr>
        <w:t>6</w:t>
      </w:r>
      <w:proofErr w:type="gramEnd"/>
      <w:r w:rsidRPr="00C70056">
        <w:rPr>
          <w:rFonts w:eastAsia="Times New Roman" w:cs="Times New Roman"/>
          <w:b/>
          <w:bCs/>
          <w:lang w:eastAsia="pt-BR"/>
        </w:rPr>
        <w:t xml:space="preserve"> TECNOLOGIAS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lang w:eastAsia="pt-BR"/>
        </w:rPr>
        <w:t xml:space="preserve">Ao grupo de especialistas foi perguntado que tecnologias teriam maior importância para o ensino, </w:t>
      </w:r>
      <w:proofErr w:type="gramStart"/>
      <w:r w:rsidRPr="00C70056">
        <w:rPr>
          <w:rFonts w:eastAsia="Times New Roman" w:cs="Times New Roman"/>
          <w:lang w:eastAsia="pt-BR"/>
        </w:rPr>
        <w:t>a</w:t>
      </w:r>
      <w:proofErr w:type="gramEnd"/>
      <w:r w:rsidRPr="00C70056">
        <w:rPr>
          <w:rFonts w:eastAsia="Times New Roman" w:cs="Times New Roman"/>
          <w:lang w:eastAsia="pt-BR"/>
        </w:rPr>
        <w:t xml:space="preserve"> aprendizagem e o questionamento criativo nos próximos cinco anos, dividindo as análises em três espaços de tempo: até um ano, de 2 a 3, e até 5. A pergunta, respondida por meio de uma complexa metodologia que envolve análise de bibliografia e compilação de dados </w:t>
      </w:r>
      <w:proofErr w:type="spellStart"/>
      <w:r w:rsidRPr="00C70056">
        <w:rPr>
          <w:rFonts w:eastAsia="Times New Roman" w:cs="Times New Roman"/>
          <w:lang w:eastAsia="pt-BR"/>
        </w:rPr>
        <w:t>colaborativamente</w:t>
      </w:r>
      <w:proofErr w:type="spellEnd"/>
      <w:r w:rsidRPr="00C70056">
        <w:rPr>
          <w:rFonts w:eastAsia="Times New Roman" w:cs="Times New Roman"/>
          <w:lang w:eastAsia="pt-BR"/>
        </w:rPr>
        <w:t>, tentava determinar muito mais do que uma moda, mas as ferramentas que passariam a ser usadas pelas principais instituições de ensino superior. Confira a lista.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b/>
          <w:bCs/>
          <w:lang w:eastAsia="pt-BR"/>
        </w:rPr>
        <w:t xml:space="preserve">1.  </w:t>
      </w:r>
      <w:proofErr w:type="spellStart"/>
      <w:r w:rsidRPr="00C70056">
        <w:rPr>
          <w:rFonts w:eastAsia="Times New Roman" w:cs="Times New Roman"/>
          <w:b/>
          <w:bCs/>
          <w:lang w:eastAsia="pt-BR"/>
        </w:rPr>
        <w:t>Moocs</w:t>
      </w:r>
      <w:proofErr w:type="spellEnd"/>
      <w:r w:rsidRPr="00C70056">
        <w:rPr>
          <w:rFonts w:eastAsia="Times New Roman" w:cs="Times New Roman"/>
          <w:b/>
          <w:bCs/>
          <w:lang w:eastAsia="pt-BR"/>
        </w:rPr>
        <w:t xml:space="preserve"> (</w:t>
      </w:r>
      <w:proofErr w:type="gramStart"/>
      <w:r w:rsidRPr="00C70056">
        <w:rPr>
          <w:rFonts w:eastAsia="Times New Roman" w:cs="Times New Roman"/>
          <w:b/>
          <w:bCs/>
          <w:lang w:eastAsia="pt-BR"/>
        </w:rPr>
        <w:t>1</w:t>
      </w:r>
      <w:proofErr w:type="gramEnd"/>
      <w:r w:rsidRPr="00C70056">
        <w:rPr>
          <w:rFonts w:eastAsia="Times New Roman" w:cs="Times New Roman"/>
          <w:b/>
          <w:bCs/>
          <w:lang w:eastAsia="pt-BR"/>
        </w:rPr>
        <w:t xml:space="preserve"> ano)</w:t>
      </w:r>
      <w:r w:rsidRPr="00C70056">
        <w:rPr>
          <w:rFonts w:eastAsia="Times New Roman" w:cs="Times New Roman"/>
          <w:b/>
          <w:bCs/>
          <w:lang w:eastAsia="pt-BR"/>
        </w:rPr>
        <w:br/>
      </w:r>
      <w:r w:rsidRPr="00C70056">
        <w:rPr>
          <w:rFonts w:eastAsia="Times New Roman" w:cs="Times New Roman"/>
          <w:lang w:eastAsia="pt-BR"/>
        </w:rPr>
        <w:t xml:space="preserve">Os </w:t>
      </w:r>
      <w:proofErr w:type="spellStart"/>
      <w:r w:rsidRPr="00C70056">
        <w:rPr>
          <w:rFonts w:eastAsia="Times New Roman" w:cs="Times New Roman"/>
          <w:lang w:eastAsia="pt-BR"/>
        </w:rPr>
        <w:t>Moocs</w:t>
      </w:r>
      <w:proofErr w:type="spellEnd"/>
      <w:r w:rsidRPr="00C70056">
        <w:rPr>
          <w:rFonts w:eastAsia="Times New Roman" w:cs="Times New Roman"/>
          <w:lang w:eastAsia="pt-BR"/>
        </w:rPr>
        <w:t xml:space="preserve"> (</w:t>
      </w:r>
      <w:proofErr w:type="spellStart"/>
      <w:r w:rsidRPr="00C70056">
        <w:rPr>
          <w:rFonts w:eastAsia="Times New Roman" w:cs="Times New Roman"/>
          <w:lang w:eastAsia="pt-BR"/>
        </w:rPr>
        <w:t>Massive</w:t>
      </w:r>
      <w:proofErr w:type="spellEnd"/>
      <w:r w:rsidRPr="00C70056">
        <w:rPr>
          <w:rFonts w:eastAsia="Times New Roman" w:cs="Times New Roman"/>
          <w:lang w:eastAsia="pt-BR"/>
        </w:rPr>
        <w:t xml:space="preserve"> Open Online Courses) se tornaram muito populares a partir do ano passado, com o lançamento de iniciativas de peso, como </w:t>
      </w:r>
      <w:proofErr w:type="spellStart"/>
      <w:r w:rsidRPr="00C70056">
        <w:rPr>
          <w:rFonts w:eastAsia="Times New Roman" w:cs="Times New Roman"/>
          <w:lang w:eastAsia="pt-BR"/>
        </w:rPr>
        <w:t>edX</w:t>
      </w:r>
      <w:proofErr w:type="spellEnd"/>
      <w:r w:rsidRPr="00C70056">
        <w:rPr>
          <w:rFonts w:eastAsia="Times New Roman" w:cs="Times New Roman"/>
          <w:lang w:eastAsia="pt-BR"/>
        </w:rPr>
        <w:t xml:space="preserve">, </w:t>
      </w:r>
      <w:proofErr w:type="spellStart"/>
      <w:r w:rsidRPr="00C70056">
        <w:rPr>
          <w:rFonts w:eastAsia="Times New Roman" w:cs="Times New Roman"/>
          <w:lang w:eastAsia="pt-BR"/>
        </w:rPr>
        <w:t>Coursera</w:t>
      </w:r>
      <w:proofErr w:type="spellEnd"/>
      <w:r w:rsidRPr="00C70056">
        <w:rPr>
          <w:rFonts w:eastAsia="Times New Roman" w:cs="Times New Roman"/>
          <w:lang w:eastAsia="pt-BR"/>
        </w:rPr>
        <w:t xml:space="preserve"> e </w:t>
      </w:r>
      <w:proofErr w:type="spellStart"/>
      <w:r w:rsidRPr="00C70056">
        <w:rPr>
          <w:rFonts w:eastAsia="Times New Roman" w:cs="Times New Roman"/>
          <w:lang w:eastAsia="pt-BR"/>
        </w:rPr>
        <w:t>Udacity</w:t>
      </w:r>
      <w:proofErr w:type="spellEnd"/>
      <w:r w:rsidRPr="00C70056">
        <w:rPr>
          <w:rFonts w:eastAsia="Times New Roman" w:cs="Times New Roman"/>
          <w:lang w:eastAsia="pt-BR"/>
        </w:rPr>
        <w:t>. Algumas das características que justificam toda essa popularidade são a possibilidade de aprendizado continuado, de nível superior e gratuito.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b/>
          <w:bCs/>
          <w:lang w:eastAsia="pt-BR"/>
        </w:rPr>
        <w:t xml:space="preserve">2.  Tablet </w:t>
      </w:r>
      <w:proofErr w:type="spellStart"/>
      <w:r w:rsidRPr="00C70056">
        <w:rPr>
          <w:rFonts w:eastAsia="Times New Roman" w:cs="Times New Roman"/>
          <w:b/>
          <w:bCs/>
          <w:lang w:eastAsia="pt-BR"/>
        </w:rPr>
        <w:t>computing</w:t>
      </w:r>
      <w:proofErr w:type="spellEnd"/>
      <w:r w:rsidRPr="00C70056">
        <w:rPr>
          <w:rFonts w:eastAsia="Times New Roman" w:cs="Times New Roman"/>
          <w:b/>
          <w:bCs/>
          <w:lang w:eastAsia="pt-BR"/>
        </w:rPr>
        <w:t xml:space="preserve"> (</w:t>
      </w:r>
      <w:proofErr w:type="gramStart"/>
      <w:r w:rsidRPr="00C70056">
        <w:rPr>
          <w:rFonts w:eastAsia="Times New Roman" w:cs="Times New Roman"/>
          <w:b/>
          <w:bCs/>
          <w:lang w:eastAsia="pt-BR"/>
        </w:rPr>
        <w:t>1</w:t>
      </w:r>
      <w:proofErr w:type="gramEnd"/>
      <w:r w:rsidRPr="00C70056">
        <w:rPr>
          <w:rFonts w:eastAsia="Times New Roman" w:cs="Times New Roman"/>
          <w:b/>
          <w:bCs/>
          <w:lang w:eastAsia="pt-BR"/>
        </w:rPr>
        <w:t xml:space="preserve"> ano)</w:t>
      </w:r>
      <w:r w:rsidRPr="00C70056">
        <w:rPr>
          <w:rFonts w:eastAsia="Times New Roman" w:cs="Times New Roman"/>
          <w:b/>
          <w:bCs/>
          <w:lang w:eastAsia="pt-BR"/>
        </w:rPr>
        <w:br/>
      </w:r>
      <w:r w:rsidRPr="00C70056">
        <w:rPr>
          <w:rFonts w:eastAsia="Times New Roman" w:cs="Times New Roman"/>
          <w:lang w:eastAsia="pt-BR"/>
        </w:rPr>
        <w:t xml:space="preserve">Na medida em que os </w:t>
      </w:r>
      <w:proofErr w:type="spellStart"/>
      <w:r w:rsidRPr="00C70056">
        <w:rPr>
          <w:rFonts w:eastAsia="Times New Roman" w:cs="Times New Roman"/>
          <w:lang w:eastAsia="pt-BR"/>
        </w:rPr>
        <w:t>tablets</w:t>
      </w:r>
      <w:proofErr w:type="spellEnd"/>
      <w:r w:rsidRPr="00C70056">
        <w:rPr>
          <w:rFonts w:eastAsia="Times New Roman" w:cs="Times New Roman"/>
          <w:lang w:eastAsia="pt-BR"/>
        </w:rPr>
        <w:t xml:space="preserve"> têm se tornado tecnologias mais baratas, também tem ficado mais claro que esses aparelhinhos têm características únicas, que podem ser aproveitadas no universo educacional. Como são portáteis, facilitam o acesso à internet e o compartilhamento de documentos em quase qualquer ambiente. Além disso, com a possibilidade de baixar uma variedade imensa de </w:t>
      </w:r>
      <w:proofErr w:type="spellStart"/>
      <w:r w:rsidRPr="00C70056">
        <w:rPr>
          <w:rFonts w:eastAsia="Times New Roman" w:cs="Times New Roman"/>
          <w:lang w:eastAsia="pt-BR"/>
        </w:rPr>
        <w:t>apps</w:t>
      </w:r>
      <w:proofErr w:type="spellEnd"/>
      <w:r w:rsidRPr="00C70056">
        <w:rPr>
          <w:rFonts w:eastAsia="Times New Roman" w:cs="Times New Roman"/>
          <w:lang w:eastAsia="pt-BR"/>
        </w:rPr>
        <w:t xml:space="preserve">, cada </w:t>
      </w:r>
      <w:proofErr w:type="spellStart"/>
      <w:r w:rsidRPr="00C70056">
        <w:rPr>
          <w:rFonts w:eastAsia="Times New Roman" w:cs="Times New Roman"/>
          <w:lang w:eastAsia="pt-BR"/>
        </w:rPr>
        <w:t>tablet</w:t>
      </w:r>
      <w:proofErr w:type="spellEnd"/>
      <w:r w:rsidRPr="00C70056">
        <w:rPr>
          <w:rFonts w:eastAsia="Times New Roman" w:cs="Times New Roman"/>
          <w:lang w:eastAsia="pt-BR"/>
        </w:rPr>
        <w:t xml:space="preserve"> também facilita um aprendizado customizado.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b/>
          <w:bCs/>
          <w:lang w:eastAsia="pt-BR"/>
        </w:rPr>
        <w:t xml:space="preserve">3.  </w:t>
      </w:r>
      <w:proofErr w:type="spellStart"/>
      <w:r w:rsidRPr="00C70056">
        <w:rPr>
          <w:rFonts w:eastAsia="Times New Roman" w:cs="Times New Roman"/>
          <w:b/>
          <w:bCs/>
          <w:lang w:eastAsia="pt-BR"/>
        </w:rPr>
        <w:t>Gaming</w:t>
      </w:r>
      <w:proofErr w:type="spellEnd"/>
      <w:r w:rsidRPr="00C70056">
        <w:rPr>
          <w:rFonts w:eastAsia="Times New Roman" w:cs="Times New Roman"/>
          <w:b/>
          <w:bCs/>
          <w:lang w:eastAsia="pt-BR"/>
        </w:rPr>
        <w:t xml:space="preserve"> e </w:t>
      </w:r>
      <w:proofErr w:type="spellStart"/>
      <w:r w:rsidRPr="00C70056">
        <w:rPr>
          <w:rFonts w:eastAsia="Times New Roman" w:cs="Times New Roman"/>
          <w:b/>
          <w:bCs/>
          <w:lang w:eastAsia="pt-BR"/>
        </w:rPr>
        <w:t>Gamificação</w:t>
      </w:r>
      <w:proofErr w:type="spellEnd"/>
      <w:r w:rsidRPr="00C70056">
        <w:rPr>
          <w:rFonts w:eastAsia="Times New Roman" w:cs="Times New Roman"/>
          <w:b/>
          <w:bCs/>
          <w:lang w:eastAsia="pt-BR"/>
        </w:rPr>
        <w:t xml:space="preserve"> (2 a 3 anos</w:t>
      </w:r>
      <w:proofErr w:type="gramStart"/>
      <w:r w:rsidRPr="00C70056">
        <w:rPr>
          <w:rFonts w:eastAsia="Times New Roman" w:cs="Times New Roman"/>
          <w:b/>
          <w:bCs/>
          <w:lang w:eastAsia="pt-BR"/>
        </w:rPr>
        <w:t>)</w:t>
      </w:r>
      <w:proofErr w:type="gramEnd"/>
      <w:r w:rsidRPr="00C70056">
        <w:rPr>
          <w:rFonts w:eastAsia="Times New Roman" w:cs="Times New Roman"/>
          <w:b/>
          <w:bCs/>
          <w:lang w:eastAsia="pt-BR"/>
        </w:rPr>
        <w:br/>
      </w:r>
      <w:proofErr w:type="spellStart"/>
      <w:r w:rsidRPr="00C70056">
        <w:rPr>
          <w:rFonts w:eastAsia="Times New Roman" w:cs="Times New Roman"/>
          <w:lang w:eastAsia="pt-BR"/>
        </w:rPr>
        <w:t>Gaming</w:t>
      </w:r>
      <w:proofErr w:type="spellEnd"/>
      <w:r w:rsidRPr="00C70056">
        <w:rPr>
          <w:rFonts w:eastAsia="Times New Roman" w:cs="Times New Roman"/>
          <w:lang w:eastAsia="pt-BR"/>
        </w:rPr>
        <w:t xml:space="preserve">, ou simplesmente jogar, tem por objetivo promover o engajamento dos alunos, uma vez que desafia seus conhecimentos em uma determinada disciplina. Mais recentemente, surgiu a necessidade de se incluir também a </w:t>
      </w:r>
      <w:proofErr w:type="spellStart"/>
      <w:r w:rsidRPr="00C70056">
        <w:rPr>
          <w:rFonts w:eastAsia="Times New Roman" w:cs="Times New Roman"/>
          <w:lang w:eastAsia="pt-BR"/>
        </w:rPr>
        <w:t>gamificação</w:t>
      </w:r>
      <w:proofErr w:type="spellEnd"/>
      <w:r w:rsidRPr="00C70056">
        <w:rPr>
          <w:rFonts w:eastAsia="Times New Roman" w:cs="Times New Roman"/>
          <w:lang w:eastAsia="pt-BR"/>
        </w:rPr>
        <w:t xml:space="preserve"> nessa tendência. A </w:t>
      </w:r>
      <w:proofErr w:type="spellStart"/>
      <w:r w:rsidRPr="00C70056">
        <w:rPr>
          <w:rFonts w:eastAsia="Times New Roman" w:cs="Times New Roman"/>
          <w:lang w:eastAsia="pt-BR"/>
        </w:rPr>
        <w:t>gamificação</w:t>
      </w:r>
      <w:proofErr w:type="spellEnd"/>
      <w:r w:rsidRPr="00C70056">
        <w:rPr>
          <w:rFonts w:eastAsia="Times New Roman" w:cs="Times New Roman"/>
          <w:lang w:eastAsia="pt-BR"/>
        </w:rPr>
        <w:t xml:space="preserve"> é a integração dos elementos dos jogos, como níveis, </w:t>
      </w:r>
      <w:proofErr w:type="spellStart"/>
      <w:r w:rsidRPr="00C70056">
        <w:rPr>
          <w:rFonts w:eastAsia="Times New Roman" w:cs="Times New Roman"/>
          <w:lang w:eastAsia="pt-BR"/>
        </w:rPr>
        <w:t>badges</w:t>
      </w:r>
      <w:proofErr w:type="spellEnd"/>
      <w:r w:rsidRPr="00C70056">
        <w:rPr>
          <w:rFonts w:eastAsia="Times New Roman" w:cs="Times New Roman"/>
          <w:lang w:eastAsia="pt-BR"/>
        </w:rPr>
        <w:t xml:space="preserve"> e competição, ao currículo. Nas edições anteriores do </w:t>
      </w:r>
      <w:proofErr w:type="spellStart"/>
      <w:r w:rsidRPr="00C70056">
        <w:rPr>
          <w:rFonts w:eastAsia="Times New Roman" w:cs="Times New Roman"/>
          <w:lang w:eastAsia="pt-BR"/>
        </w:rPr>
        <w:t>Horizon</w:t>
      </w:r>
      <w:proofErr w:type="spellEnd"/>
      <w:r w:rsidRPr="00C70056">
        <w:rPr>
          <w:rFonts w:eastAsia="Times New Roman" w:cs="Times New Roman"/>
          <w:lang w:eastAsia="pt-BR"/>
        </w:rPr>
        <w:t xml:space="preserve"> </w:t>
      </w:r>
      <w:proofErr w:type="spellStart"/>
      <w:r w:rsidRPr="00C70056">
        <w:rPr>
          <w:rFonts w:eastAsia="Times New Roman" w:cs="Times New Roman"/>
          <w:lang w:eastAsia="pt-BR"/>
        </w:rPr>
        <w:t>Report</w:t>
      </w:r>
      <w:proofErr w:type="spellEnd"/>
      <w:r w:rsidRPr="00C70056">
        <w:rPr>
          <w:rFonts w:eastAsia="Times New Roman" w:cs="Times New Roman"/>
          <w:lang w:eastAsia="pt-BR"/>
        </w:rPr>
        <w:t xml:space="preserve">, essa dimensão vinha sendo chamada de educação baseada em jogos, mas foi ampliada na medida em que, além de incluir as ferramentas necessárias para apoiar o aprendizado, essa tendência também está envolta a em uma cultura e em </w:t>
      </w:r>
      <w:proofErr w:type="gramStart"/>
      <w:r w:rsidRPr="00C70056">
        <w:rPr>
          <w:rFonts w:eastAsia="Times New Roman" w:cs="Times New Roman"/>
          <w:lang w:eastAsia="pt-BR"/>
        </w:rPr>
        <w:t>um design específicos</w:t>
      </w:r>
      <w:proofErr w:type="gramEnd"/>
      <w:r w:rsidRPr="00C70056">
        <w:rPr>
          <w:rFonts w:eastAsia="Times New Roman" w:cs="Times New Roman"/>
          <w:lang w:eastAsia="pt-BR"/>
        </w:rPr>
        <w:t>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b/>
          <w:bCs/>
          <w:lang w:eastAsia="pt-BR"/>
        </w:rPr>
        <w:lastRenderedPageBreak/>
        <w:t xml:space="preserve">4.  Learning </w:t>
      </w:r>
      <w:proofErr w:type="spellStart"/>
      <w:r w:rsidRPr="00C70056">
        <w:rPr>
          <w:rFonts w:eastAsia="Times New Roman" w:cs="Times New Roman"/>
          <w:b/>
          <w:bCs/>
          <w:lang w:eastAsia="pt-BR"/>
        </w:rPr>
        <w:t>analytics</w:t>
      </w:r>
      <w:proofErr w:type="spellEnd"/>
      <w:r w:rsidRPr="00C70056">
        <w:rPr>
          <w:rFonts w:eastAsia="Times New Roman" w:cs="Times New Roman"/>
          <w:b/>
          <w:bCs/>
          <w:lang w:eastAsia="pt-BR"/>
        </w:rPr>
        <w:t xml:space="preserve"> (2 a 3 anos</w:t>
      </w:r>
      <w:proofErr w:type="gramStart"/>
      <w:r w:rsidRPr="00C70056">
        <w:rPr>
          <w:rFonts w:eastAsia="Times New Roman" w:cs="Times New Roman"/>
          <w:b/>
          <w:bCs/>
          <w:lang w:eastAsia="pt-BR"/>
        </w:rPr>
        <w:t>)</w:t>
      </w:r>
      <w:proofErr w:type="gramEnd"/>
      <w:r w:rsidRPr="00C70056">
        <w:rPr>
          <w:rFonts w:eastAsia="Times New Roman" w:cs="Times New Roman"/>
          <w:b/>
          <w:bCs/>
          <w:lang w:eastAsia="pt-BR"/>
        </w:rPr>
        <w:br/>
      </w:r>
      <w:r w:rsidRPr="00C70056">
        <w:rPr>
          <w:rFonts w:eastAsia="Times New Roman" w:cs="Times New Roman"/>
          <w:lang w:eastAsia="pt-BR"/>
        </w:rPr>
        <w:t xml:space="preserve">Ferramenta usada para decifrar tendências e padrões a partir de big data disponível sobre o aprendizado dos alunos. Primeiro, o uso do </w:t>
      </w:r>
      <w:proofErr w:type="spellStart"/>
      <w:r w:rsidRPr="00C70056">
        <w:rPr>
          <w:rFonts w:eastAsia="Times New Roman" w:cs="Times New Roman"/>
          <w:i/>
          <w:iCs/>
          <w:lang w:eastAsia="pt-BR"/>
        </w:rPr>
        <w:t>analytics</w:t>
      </w:r>
      <w:proofErr w:type="spellEnd"/>
      <w:r w:rsidRPr="00C70056">
        <w:rPr>
          <w:rFonts w:eastAsia="Times New Roman" w:cs="Times New Roman"/>
          <w:lang w:eastAsia="pt-BR"/>
        </w:rPr>
        <w:t xml:space="preserve"> se restringia a alunos com dificuldades de aprendizado. Hoje, ele já se mostra um recurso mais generalizado e extremamente útil para fazer escolhas pedagógicas a partir da necessidade dos alunos. As universidades têm usado o </w:t>
      </w:r>
      <w:proofErr w:type="spellStart"/>
      <w:r w:rsidRPr="00C70056">
        <w:rPr>
          <w:rFonts w:eastAsia="Times New Roman" w:cs="Times New Roman"/>
          <w:i/>
          <w:iCs/>
          <w:lang w:eastAsia="pt-BR"/>
        </w:rPr>
        <w:t>analytics</w:t>
      </w:r>
      <w:proofErr w:type="spellEnd"/>
      <w:r w:rsidRPr="00C70056">
        <w:rPr>
          <w:rFonts w:eastAsia="Times New Roman" w:cs="Times New Roman"/>
          <w:lang w:eastAsia="pt-BR"/>
        </w:rPr>
        <w:t xml:space="preserve"> para fazer com que o processo de orientação dos estudantes se torne muito mais preciso.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b/>
          <w:bCs/>
          <w:lang w:eastAsia="pt-BR"/>
        </w:rPr>
        <w:t xml:space="preserve">5.  </w:t>
      </w:r>
      <w:proofErr w:type="spellStart"/>
      <w:r w:rsidRPr="00C70056">
        <w:rPr>
          <w:rFonts w:eastAsia="Times New Roman" w:cs="Times New Roman"/>
          <w:b/>
          <w:bCs/>
          <w:lang w:eastAsia="pt-BR"/>
        </w:rPr>
        <w:t>Impressoas</w:t>
      </w:r>
      <w:proofErr w:type="spellEnd"/>
      <w:r w:rsidRPr="00C70056">
        <w:rPr>
          <w:rFonts w:eastAsia="Times New Roman" w:cs="Times New Roman"/>
          <w:b/>
          <w:bCs/>
          <w:lang w:eastAsia="pt-BR"/>
        </w:rPr>
        <w:t xml:space="preserve"> 3D (</w:t>
      </w:r>
      <w:proofErr w:type="gramStart"/>
      <w:r w:rsidRPr="00C70056">
        <w:rPr>
          <w:rFonts w:eastAsia="Times New Roman" w:cs="Times New Roman"/>
          <w:b/>
          <w:bCs/>
          <w:lang w:eastAsia="pt-BR"/>
        </w:rPr>
        <w:t>5</w:t>
      </w:r>
      <w:proofErr w:type="gramEnd"/>
      <w:r w:rsidRPr="00C70056">
        <w:rPr>
          <w:rFonts w:eastAsia="Times New Roman" w:cs="Times New Roman"/>
          <w:b/>
          <w:bCs/>
          <w:lang w:eastAsia="pt-BR"/>
        </w:rPr>
        <w:t xml:space="preserve"> anos)</w:t>
      </w:r>
      <w:r w:rsidRPr="00C70056">
        <w:rPr>
          <w:rFonts w:eastAsia="Times New Roman" w:cs="Times New Roman"/>
          <w:b/>
          <w:bCs/>
          <w:lang w:eastAsia="pt-BR"/>
        </w:rPr>
        <w:br/>
      </w:r>
      <w:r w:rsidRPr="00C70056">
        <w:rPr>
          <w:rFonts w:eastAsia="Times New Roman" w:cs="Times New Roman"/>
          <w:lang w:eastAsia="pt-BR"/>
        </w:rPr>
        <w:t xml:space="preserve">As impressoras 3D oferecem uma forma muito mais barata e rápida de se </w:t>
      </w:r>
      <w:proofErr w:type="spellStart"/>
      <w:r w:rsidRPr="00C70056">
        <w:rPr>
          <w:rFonts w:eastAsia="Times New Roman" w:cs="Times New Roman"/>
          <w:lang w:eastAsia="pt-BR"/>
        </w:rPr>
        <w:t>prototipar</w:t>
      </w:r>
      <w:proofErr w:type="spellEnd"/>
      <w:r w:rsidRPr="00C70056">
        <w:rPr>
          <w:rFonts w:eastAsia="Times New Roman" w:cs="Times New Roman"/>
          <w:lang w:eastAsia="pt-BR"/>
        </w:rPr>
        <w:t xml:space="preserve"> projetos. No cenário educacional, essas ferramentas têm sido usadas em uma gama muito grande de pesquisas e laboratórios, especialmente de </w:t>
      </w:r>
      <w:proofErr w:type="spellStart"/>
      <w:r w:rsidRPr="00C70056">
        <w:rPr>
          <w:rFonts w:eastAsia="Times New Roman" w:cs="Times New Roman"/>
          <w:lang w:eastAsia="pt-BR"/>
        </w:rPr>
        <w:t>Stem</w:t>
      </w:r>
      <w:proofErr w:type="spellEnd"/>
      <w:r w:rsidRPr="00C70056">
        <w:rPr>
          <w:rFonts w:eastAsia="Times New Roman" w:cs="Times New Roman"/>
          <w:lang w:eastAsia="pt-BR"/>
        </w:rPr>
        <w:t xml:space="preserve"> (acrônimo que reúne áreas de ciência, tecnologia, engenharia e matemática). A expectativa dos especialistas é que, em cinco anos, elas passem a ser amplamente usadas em outras áreas para criar modelos </w:t>
      </w:r>
      <w:proofErr w:type="gramStart"/>
      <w:r w:rsidRPr="00C70056">
        <w:rPr>
          <w:rFonts w:eastAsia="Times New Roman" w:cs="Times New Roman"/>
          <w:lang w:eastAsia="pt-BR"/>
        </w:rPr>
        <w:t>tridimensionais</w:t>
      </w:r>
      <w:proofErr w:type="gramEnd"/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b/>
          <w:bCs/>
          <w:lang w:eastAsia="pt-BR"/>
        </w:rPr>
        <w:t>6.  Tecnologia para vestir (</w:t>
      </w:r>
      <w:proofErr w:type="gramStart"/>
      <w:r w:rsidRPr="00C70056">
        <w:rPr>
          <w:rFonts w:eastAsia="Times New Roman" w:cs="Times New Roman"/>
          <w:b/>
          <w:bCs/>
          <w:lang w:eastAsia="pt-BR"/>
        </w:rPr>
        <w:t>5</w:t>
      </w:r>
      <w:proofErr w:type="gramEnd"/>
      <w:r w:rsidRPr="00C70056">
        <w:rPr>
          <w:rFonts w:eastAsia="Times New Roman" w:cs="Times New Roman"/>
          <w:b/>
          <w:bCs/>
          <w:lang w:eastAsia="pt-BR"/>
        </w:rPr>
        <w:t xml:space="preserve"> anos)</w:t>
      </w:r>
      <w:r w:rsidRPr="00C70056">
        <w:rPr>
          <w:rFonts w:eastAsia="Times New Roman" w:cs="Times New Roman"/>
          <w:b/>
          <w:bCs/>
          <w:lang w:eastAsia="pt-BR"/>
        </w:rPr>
        <w:br/>
      </w:r>
      <w:r w:rsidRPr="00C70056">
        <w:rPr>
          <w:rFonts w:eastAsia="Times New Roman" w:cs="Times New Roman"/>
          <w:lang w:eastAsia="pt-BR"/>
        </w:rPr>
        <w:t xml:space="preserve">Pela primeira vez no </w:t>
      </w:r>
      <w:proofErr w:type="spellStart"/>
      <w:r w:rsidRPr="00C70056">
        <w:rPr>
          <w:rFonts w:eastAsia="Times New Roman" w:cs="Times New Roman"/>
          <w:lang w:eastAsia="pt-BR"/>
        </w:rPr>
        <w:t>Horizon</w:t>
      </w:r>
      <w:proofErr w:type="spellEnd"/>
      <w:r w:rsidRPr="00C70056">
        <w:rPr>
          <w:rFonts w:eastAsia="Times New Roman" w:cs="Times New Roman"/>
          <w:lang w:eastAsia="pt-BR"/>
        </w:rPr>
        <w:t>, a chamada “</w:t>
      </w:r>
      <w:proofErr w:type="spellStart"/>
      <w:r w:rsidRPr="00C70056">
        <w:rPr>
          <w:rFonts w:eastAsia="Times New Roman" w:cs="Times New Roman"/>
          <w:i/>
          <w:iCs/>
          <w:lang w:eastAsia="pt-BR"/>
        </w:rPr>
        <w:t>wearable</w:t>
      </w:r>
      <w:proofErr w:type="spellEnd"/>
      <w:r w:rsidRPr="00C70056">
        <w:rPr>
          <w:rFonts w:eastAsia="Times New Roman" w:cs="Times New Roman"/>
          <w:i/>
          <w:iCs/>
          <w:lang w:eastAsia="pt-BR"/>
        </w:rPr>
        <w:t xml:space="preserve"> </w:t>
      </w:r>
      <w:proofErr w:type="spellStart"/>
      <w:r w:rsidRPr="00C70056">
        <w:rPr>
          <w:rFonts w:eastAsia="Times New Roman" w:cs="Times New Roman"/>
          <w:i/>
          <w:iCs/>
          <w:lang w:eastAsia="pt-BR"/>
        </w:rPr>
        <w:t>technology</w:t>
      </w:r>
      <w:proofErr w:type="spellEnd"/>
      <w:r w:rsidRPr="00C70056">
        <w:rPr>
          <w:rFonts w:eastAsia="Times New Roman" w:cs="Times New Roman"/>
          <w:lang w:eastAsia="pt-BR"/>
        </w:rPr>
        <w:t>” integra equipamentos eletrônicos a roupas e acessórios. Muitas dessas tecnologias já têm aparecido no mercado e já mostram potencial para serem usadas no ensino e no aprendizado. Realidade aumentada e telas finas que podem ser acopladas a superfícies são exemplos que devem se desenvolver.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proofErr w:type="gramStart"/>
      <w:r w:rsidRPr="00C70056">
        <w:rPr>
          <w:rFonts w:eastAsia="Times New Roman" w:cs="Times New Roman"/>
          <w:b/>
          <w:bCs/>
          <w:lang w:eastAsia="pt-BR"/>
        </w:rPr>
        <w:t>6</w:t>
      </w:r>
      <w:proofErr w:type="gramEnd"/>
      <w:r w:rsidRPr="00C70056">
        <w:rPr>
          <w:rFonts w:eastAsia="Times New Roman" w:cs="Times New Roman"/>
          <w:b/>
          <w:bCs/>
          <w:lang w:eastAsia="pt-BR"/>
        </w:rPr>
        <w:t xml:space="preserve"> TENDÊNCIAS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lang w:eastAsia="pt-BR"/>
        </w:rPr>
        <w:t>Para produzir o relatório, os especialistas são convidados a entenderem o contexto em que a educação está para tentarem prospectar temas que se tornarão tendências. Muitas das tendências descritas pelos especialistas têm estreita correlação com as tecnologias há pouco apresentadas.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b/>
          <w:bCs/>
          <w:lang w:eastAsia="pt-BR"/>
        </w:rPr>
        <w:t>1.  Educação aberta</w:t>
      </w:r>
      <w:r w:rsidRPr="00C70056">
        <w:rPr>
          <w:rFonts w:eastAsia="Times New Roman" w:cs="Times New Roman"/>
          <w:b/>
          <w:bCs/>
          <w:lang w:eastAsia="pt-BR"/>
        </w:rPr>
        <w:br/>
      </w:r>
      <w:r w:rsidRPr="00C70056">
        <w:rPr>
          <w:rFonts w:eastAsia="Times New Roman" w:cs="Times New Roman"/>
          <w:lang w:eastAsia="pt-BR"/>
        </w:rPr>
        <w:t xml:space="preserve">Conceitos como conteúdo, dados e recursos abertos, assim como noções de transparência e acesso fácil à informação estão se tornando um valor importante. Muito comumente confundida com educação gratuita, a educação aberta não só é grátis, mas replicável, </w:t>
      </w:r>
      <w:proofErr w:type="spellStart"/>
      <w:r w:rsidRPr="00C70056">
        <w:rPr>
          <w:rFonts w:eastAsia="Times New Roman" w:cs="Times New Roman"/>
          <w:lang w:eastAsia="pt-BR"/>
        </w:rPr>
        <w:t>remixável</w:t>
      </w:r>
      <w:proofErr w:type="spellEnd"/>
      <w:r w:rsidRPr="00C70056">
        <w:rPr>
          <w:rFonts w:eastAsia="Times New Roman" w:cs="Times New Roman"/>
          <w:lang w:eastAsia="pt-BR"/>
        </w:rPr>
        <w:t xml:space="preserve"> e sem barreiras ao acesso e à interação.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b/>
          <w:bCs/>
          <w:lang w:eastAsia="pt-BR"/>
        </w:rPr>
        <w:t>2.  Cursos abertos e gratuitos</w:t>
      </w:r>
      <w:r w:rsidRPr="00C70056">
        <w:rPr>
          <w:rFonts w:eastAsia="Times New Roman" w:cs="Times New Roman"/>
          <w:b/>
          <w:bCs/>
          <w:lang w:eastAsia="pt-BR"/>
        </w:rPr>
        <w:br/>
      </w:r>
      <w:r w:rsidRPr="00C70056">
        <w:rPr>
          <w:rFonts w:eastAsia="Times New Roman" w:cs="Times New Roman"/>
          <w:lang w:eastAsia="pt-BR"/>
        </w:rPr>
        <w:t xml:space="preserve">Com a popularização dos </w:t>
      </w:r>
      <w:proofErr w:type="spellStart"/>
      <w:r w:rsidRPr="00C70056">
        <w:rPr>
          <w:rFonts w:eastAsia="Times New Roman" w:cs="Times New Roman"/>
          <w:lang w:eastAsia="pt-BR"/>
        </w:rPr>
        <w:t>Moocs</w:t>
      </w:r>
      <w:proofErr w:type="spellEnd"/>
      <w:r w:rsidRPr="00C70056">
        <w:rPr>
          <w:rFonts w:eastAsia="Times New Roman" w:cs="Times New Roman"/>
          <w:lang w:eastAsia="pt-BR"/>
        </w:rPr>
        <w:t>, os cursos on-line, abertos e gratuitos passam a se fortalecer como uma alternativa ao estudo tradicional.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b/>
          <w:bCs/>
          <w:lang w:eastAsia="pt-BR"/>
        </w:rPr>
        <w:t>3.  Habilidades do mundo real</w:t>
      </w:r>
      <w:r w:rsidRPr="00C70056">
        <w:rPr>
          <w:rFonts w:eastAsia="Times New Roman" w:cs="Times New Roman"/>
          <w:b/>
          <w:bCs/>
          <w:lang w:eastAsia="pt-BR"/>
        </w:rPr>
        <w:br/>
      </w:r>
      <w:r w:rsidRPr="00C70056">
        <w:rPr>
          <w:rFonts w:eastAsia="Times New Roman" w:cs="Times New Roman"/>
          <w:lang w:eastAsia="pt-BR"/>
        </w:rPr>
        <w:t xml:space="preserve">O mercado de trabalho demanda dos </w:t>
      </w:r>
      <w:proofErr w:type="gramStart"/>
      <w:r w:rsidRPr="00C70056">
        <w:rPr>
          <w:rFonts w:eastAsia="Times New Roman" w:cs="Times New Roman"/>
          <w:lang w:eastAsia="pt-BR"/>
        </w:rPr>
        <w:t>recém-formados habilidades</w:t>
      </w:r>
      <w:proofErr w:type="gramEnd"/>
      <w:r w:rsidRPr="00C70056">
        <w:rPr>
          <w:rFonts w:eastAsia="Times New Roman" w:cs="Times New Roman"/>
          <w:lang w:eastAsia="pt-BR"/>
        </w:rPr>
        <w:t xml:space="preserve"> que são mais </w:t>
      </w:r>
      <w:proofErr w:type="gramStart"/>
      <w:r w:rsidRPr="00C70056">
        <w:rPr>
          <w:rFonts w:eastAsia="Times New Roman" w:cs="Times New Roman"/>
          <w:lang w:eastAsia="pt-BR"/>
        </w:rPr>
        <w:t>frequentemente</w:t>
      </w:r>
      <w:proofErr w:type="gramEnd"/>
      <w:r w:rsidRPr="00C70056">
        <w:rPr>
          <w:rFonts w:eastAsia="Times New Roman" w:cs="Times New Roman"/>
          <w:lang w:eastAsia="pt-BR"/>
        </w:rPr>
        <w:t xml:space="preserve"> adquiridas fora da escola, em situações de aprendizado informal.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b/>
          <w:bCs/>
          <w:lang w:eastAsia="pt-BR"/>
        </w:rPr>
        <w:t>4.  Novas fontes de informação</w:t>
      </w:r>
      <w:r w:rsidRPr="00C70056">
        <w:rPr>
          <w:rFonts w:eastAsia="Times New Roman" w:cs="Times New Roman"/>
          <w:b/>
          <w:bCs/>
          <w:lang w:eastAsia="pt-BR"/>
        </w:rPr>
        <w:br/>
      </w:r>
      <w:proofErr w:type="gramStart"/>
      <w:r w:rsidRPr="00C70056">
        <w:rPr>
          <w:rFonts w:eastAsia="Times New Roman" w:cs="Times New Roman"/>
          <w:lang w:eastAsia="pt-BR"/>
        </w:rPr>
        <w:t>Existe</w:t>
      </w:r>
      <w:proofErr w:type="gramEnd"/>
      <w:r w:rsidRPr="00C70056">
        <w:rPr>
          <w:rFonts w:eastAsia="Times New Roman" w:cs="Times New Roman"/>
          <w:lang w:eastAsia="pt-BR"/>
        </w:rPr>
        <w:t xml:space="preserve"> um crescente interesse em usar novas fontes de informação para personalizar e medir a experiência do aprendizado. Com os alunos se dedicando cada vez mais a atividades on-line, há cada vez mais pegadas digitais que podem ser rastreadas pelo </w:t>
      </w:r>
      <w:proofErr w:type="spellStart"/>
      <w:r w:rsidRPr="00C70056">
        <w:rPr>
          <w:rFonts w:eastAsia="Times New Roman" w:cs="Times New Roman"/>
          <w:i/>
          <w:iCs/>
          <w:lang w:eastAsia="pt-BR"/>
        </w:rPr>
        <w:t>analytics</w:t>
      </w:r>
      <w:proofErr w:type="spellEnd"/>
      <w:r w:rsidRPr="00C70056">
        <w:rPr>
          <w:rFonts w:eastAsia="Times New Roman" w:cs="Times New Roman"/>
          <w:lang w:eastAsia="pt-BR"/>
        </w:rPr>
        <w:t>, ferramenta também em franco desenvolvimento.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b/>
          <w:bCs/>
          <w:lang w:eastAsia="pt-BR"/>
        </w:rPr>
        <w:t>5.  Novo papel para o professor</w:t>
      </w:r>
      <w:r w:rsidRPr="00C70056">
        <w:rPr>
          <w:rFonts w:eastAsia="Times New Roman" w:cs="Times New Roman"/>
          <w:b/>
          <w:bCs/>
          <w:lang w:eastAsia="pt-BR"/>
        </w:rPr>
        <w:br/>
      </w:r>
      <w:r w:rsidRPr="00C70056">
        <w:rPr>
          <w:rFonts w:eastAsia="Times New Roman" w:cs="Times New Roman"/>
          <w:lang w:eastAsia="pt-BR"/>
        </w:rPr>
        <w:t xml:space="preserve">O crescimento e a valorização do aprendizado informal e o aumento na quantidade de recursos de educação têm feito com que as funções dos educadores sejam repensadas. Agora, </w:t>
      </w:r>
      <w:r w:rsidRPr="00C70056">
        <w:rPr>
          <w:rFonts w:eastAsia="Times New Roman" w:cs="Times New Roman"/>
          <w:lang w:eastAsia="pt-BR"/>
        </w:rPr>
        <w:lastRenderedPageBreak/>
        <w:t>eles devem se portar muito mais como mentores e conectores de todas as informações disponíveis do que detentores do conhecimento.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b/>
          <w:bCs/>
          <w:lang w:eastAsia="pt-BR"/>
        </w:rPr>
        <w:t>6.  Novo paradigma</w:t>
      </w:r>
      <w:r w:rsidRPr="00C70056">
        <w:rPr>
          <w:rFonts w:eastAsia="Times New Roman" w:cs="Times New Roman"/>
          <w:b/>
          <w:bCs/>
          <w:lang w:eastAsia="pt-BR"/>
        </w:rPr>
        <w:br/>
      </w:r>
      <w:r w:rsidRPr="00C70056">
        <w:rPr>
          <w:rFonts w:eastAsia="Times New Roman" w:cs="Times New Roman"/>
          <w:lang w:eastAsia="pt-BR"/>
        </w:rPr>
        <w:t>A educação caminha para se tornar cada vez mais on-line, híbrida e calcada em modelos colaborativos.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proofErr w:type="gramStart"/>
      <w:r w:rsidRPr="00C70056">
        <w:rPr>
          <w:rFonts w:eastAsia="Times New Roman" w:cs="Times New Roman"/>
          <w:b/>
          <w:bCs/>
          <w:lang w:eastAsia="pt-BR"/>
        </w:rPr>
        <w:t>6</w:t>
      </w:r>
      <w:proofErr w:type="gramEnd"/>
      <w:r w:rsidRPr="00C70056">
        <w:rPr>
          <w:rFonts w:eastAsia="Times New Roman" w:cs="Times New Roman"/>
          <w:b/>
          <w:bCs/>
          <w:lang w:eastAsia="pt-BR"/>
        </w:rPr>
        <w:t xml:space="preserve"> DESAFIOS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lang w:eastAsia="pt-BR"/>
        </w:rPr>
        <w:t>Tanto as tecnologias emergentes quanto as grandes tendências esperadas no campo da educação superior têm sua ocorrência atrelada a importantes desafios por que passam as universidades.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b/>
          <w:bCs/>
          <w:lang w:eastAsia="pt-BR"/>
        </w:rPr>
        <w:t>1.    Capacitação de professores</w:t>
      </w:r>
      <w:r w:rsidRPr="00C70056">
        <w:rPr>
          <w:rFonts w:eastAsia="Times New Roman" w:cs="Times New Roman"/>
          <w:b/>
          <w:bCs/>
          <w:lang w:eastAsia="pt-BR"/>
        </w:rPr>
        <w:br/>
      </w:r>
      <w:r w:rsidRPr="00C70056">
        <w:rPr>
          <w:rFonts w:eastAsia="Times New Roman" w:cs="Times New Roman"/>
          <w:lang w:eastAsia="pt-BR"/>
        </w:rPr>
        <w:t xml:space="preserve">Docentes ainda não </w:t>
      </w:r>
      <w:proofErr w:type="gramStart"/>
      <w:r w:rsidRPr="00C70056">
        <w:rPr>
          <w:rFonts w:eastAsia="Times New Roman" w:cs="Times New Roman"/>
          <w:lang w:eastAsia="pt-BR"/>
        </w:rPr>
        <w:t>estão</w:t>
      </w:r>
      <w:proofErr w:type="gramEnd"/>
      <w:r w:rsidRPr="00C70056">
        <w:rPr>
          <w:rFonts w:eastAsia="Times New Roman" w:cs="Times New Roman"/>
          <w:lang w:eastAsia="pt-BR"/>
        </w:rPr>
        <w:t xml:space="preserve"> sendo capacitados para agirem na era digital.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b/>
          <w:bCs/>
          <w:lang w:eastAsia="pt-BR"/>
        </w:rPr>
        <w:t>2.    Novas formas de avaliação de pares</w:t>
      </w:r>
      <w:r w:rsidRPr="00C70056">
        <w:rPr>
          <w:rFonts w:eastAsia="Times New Roman" w:cs="Times New Roman"/>
          <w:b/>
          <w:bCs/>
          <w:lang w:eastAsia="pt-BR"/>
        </w:rPr>
        <w:br/>
      </w:r>
      <w:r w:rsidRPr="00C70056">
        <w:rPr>
          <w:rFonts w:eastAsia="Times New Roman" w:cs="Times New Roman"/>
          <w:lang w:eastAsia="pt-BR"/>
        </w:rPr>
        <w:t xml:space="preserve">A métrica que costumava ser usada para avaliar trabalhos científicos não consegue avaliar com precisão trabalhos difundidos via internet. Novas formas de revisão de pares, tais como notas de leitores, inclusão e menção em blogs influentes, </w:t>
      </w:r>
      <w:proofErr w:type="spellStart"/>
      <w:r w:rsidRPr="00C70056">
        <w:rPr>
          <w:rFonts w:eastAsia="Times New Roman" w:cs="Times New Roman"/>
          <w:lang w:eastAsia="pt-BR"/>
        </w:rPr>
        <w:t>tagueamento</w:t>
      </w:r>
      <w:proofErr w:type="spellEnd"/>
      <w:r w:rsidRPr="00C70056">
        <w:rPr>
          <w:rFonts w:eastAsia="Times New Roman" w:cs="Times New Roman"/>
          <w:lang w:eastAsia="pt-BR"/>
        </w:rPr>
        <w:t xml:space="preserve"> e </w:t>
      </w:r>
      <w:proofErr w:type="spellStart"/>
      <w:r w:rsidRPr="00C70056">
        <w:rPr>
          <w:rFonts w:eastAsia="Times New Roman" w:cs="Times New Roman"/>
          <w:lang w:eastAsia="pt-BR"/>
        </w:rPr>
        <w:t>retuítes</w:t>
      </w:r>
      <w:proofErr w:type="spellEnd"/>
      <w:r w:rsidRPr="00C70056">
        <w:rPr>
          <w:rFonts w:eastAsia="Times New Roman" w:cs="Times New Roman"/>
          <w:lang w:eastAsia="pt-BR"/>
        </w:rPr>
        <w:t>, começam a ser valorizadas.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b/>
          <w:bCs/>
          <w:lang w:eastAsia="pt-BR"/>
        </w:rPr>
        <w:t>3.    Resistência interna</w:t>
      </w:r>
      <w:r w:rsidRPr="00C70056">
        <w:rPr>
          <w:rFonts w:eastAsia="Times New Roman" w:cs="Times New Roman"/>
          <w:b/>
          <w:bCs/>
          <w:lang w:eastAsia="pt-BR"/>
        </w:rPr>
        <w:br/>
      </w:r>
      <w:r w:rsidRPr="00C70056">
        <w:rPr>
          <w:rFonts w:eastAsia="Times New Roman" w:cs="Times New Roman"/>
          <w:lang w:eastAsia="pt-BR"/>
        </w:rPr>
        <w:t>Muito frequentemente é o próprio processo educacional que limita a adoção de novas tecnologias.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b/>
          <w:bCs/>
          <w:lang w:eastAsia="pt-BR"/>
        </w:rPr>
        <w:t>4.    Tecnologias e práticas inadequadas</w:t>
      </w:r>
      <w:r w:rsidRPr="00C70056">
        <w:rPr>
          <w:rFonts w:eastAsia="Times New Roman" w:cs="Times New Roman"/>
          <w:b/>
          <w:bCs/>
          <w:lang w:eastAsia="pt-BR"/>
        </w:rPr>
        <w:br/>
      </w:r>
      <w:r w:rsidRPr="00C70056">
        <w:rPr>
          <w:rFonts w:eastAsia="Times New Roman" w:cs="Times New Roman"/>
          <w:lang w:eastAsia="pt-BR"/>
        </w:rPr>
        <w:t>Tecnologias capazes de oferecer um aprendizado cada vez mais personalizado têm sido muito demandadas, mas elas estão apenas começando a ser adotadas.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b/>
          <w:bCs/>
          <w:lang w:eastAsia="pt-BR"/>
        </w:rPr>
        <w:t>5.    Modelos tradicionais são questionados</w:t>
      </w:r>
      <w:r w:rsidRPr="00C70056">
        <w:rPr>
          <w:rFonts w:eastAsia="Times New Roman" w:cs="Times New Roman"/>
          <w:b/>
          <w:bCs/>
          <w:lang w:eastAsia="pt-BR"/>
        </w:rPr>
        <w:br/>
      </w:r>
      <w:proofErr w:type="gramStart"/>
      <w:r w:rsidRPr="00C70056">
        <w:rPr>
          <w:rFonts w:eastAsia="Times New Roman" w:cs="Times New Roman"/>
          <w:lang w:eastAsia="pt-BR"/>
        </w:rPr>
        <w:t xml:space="preserve">A popularidade e o alcance dos </w:t>
      </w:r>
      <w:proofErr w:type="spellStart"/>
      <w:r w:rsidRPr="00C70056">
        <w:rPr>
          <w:rFonts w:eastAsia="Times New Roman" w:cs="Times New Roman"/>
          <w:lang w:eastAsia="pt-BR"/>
        </w:rPr>
        <w:t>Moocs</w:t>
      </w:r>
      <w:proofErr w:type="spellEnd"/>
      <w:r w:rsidRPr="00C70056">
        <w:rPr>
          <w:rFonts w:eastAsia="Times New Roman" w:cs="Times New Roman"/>
          <w:lang w:eastAsia="pt-BR"/>
        </w:rPr>
        <w:t xml:space="preserve"> está</w:t>
      </w:r>
      <w:proofErr w:type="gramEnd"/>
      <w:r w:rsidRPr="00C70056">
        <w:rPr>
          <w:rFonts w:eastAsia="Times New Roman" w:cs="Times New Roman"/>
          <w:lang w:eastAsia="pt-BR"/>
        </w:rPr>
        <w:t xml:space="preserve"> obrigando instituições tradicionais de ensino superior a repensarem o seu papel.</w:t>
      </w:r>
    </w:p>
    <w:p w:rsidR="00C70056" w:rsidRPr="00C70056" w:rsidRDefault="00C70056" w:rsidP="00C70056">
      <w:p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C70056">
        <w:rPr>
          <w:rFonts w:eastAsia="Times New Roman" w:cs="Times New Roman"/>
          <w:b/>
          <w:bCs/>
          <w:lang w:eastAsia="pt-BR"/>
        </w:rPr>
        <w:t>6.    Pesquisadores não usam tecnologias</w:t>
      </w:r>
      <w:r w:rsidRPr="00C70056">
        <w:rPr>
          <w:rFonts w:eastAsia="Times New Roman" w:cs="Times New Roman"/>
          <w:b/>
          <w:bCs/>
          <w:lang w:eastAsia="pt-BR"/>
        </w:rPr>
        <w:br/>
      </w:r>
      <w:r w:rsidRPr="00C70056">
        <w:rPr>
          <w:rFonts w:eastAsia="Times New Roman" w:cs="Times New Roman"/>
          <w:lang w:eastAsia="pt-BR"/>
        </w:rPr>
        <w:t>Muitos professores e pesquisadores ainda não usam as tecnologias digitais para aprender, ensinar ou mesmo organizar a sua pesquisa.</w:t>
      </w:r>
    </w:p>
    <w:p w:rsidR="007F30B0" w:rsidRDefault="007F30B0"/>
    <w:p w:rsidR="00C70056" w:rsidRDefault="00C70056"/>
    <w:p w:rsidR="00C70056" w:rsidRDefault="00801A01">
      <w:hyperlink r:id="rId12" w:history="1">
        <w:r w:rsidR="00C70056" w:rsidRPr="00834658">
          <w:rPr>
            <w:rStyle w:val="Hyperlink"/>
          </w:rPr>
          <w:t>http://porvir.org/porpensar/dissecando-ensino-superior-ate-2018/20130429</w:t>
        </w:r>
      </w:hyperlink>
    </w:p>
    <w:p w:rsidR="00C70056" w:rsidRDefault="00C70056"/>
    <w:p w:rsidR="00C70056" w:rsidRDefault="00C70056">
      <w:r>
        <w:t>Acesso em 13 de agosto de 2014</w:t>
      </w:r>
    </w:p>
    <w:sectPr w:rsidR="00C70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56"/>
    <w:rsid w:val="007F30B0"/>
    <w:rsid w:val="00801A01"/>
    <w:rsid w:val="00C7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0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00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7005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70056"/>
    <w:rPr>
      <w:b/>
      <w:bCs/>
    </w:rPr>
  </w:style>
  <w:style w:type="character" w:customStyle="1" w:styleId="media-credit">
    <w:name w:val="media-credit"/>
    <w:basedOn w:val="Fontepargpadro"/>
    <w:rsid w:val="00C70056"/>
  </w:style>
  <w:style w:type="character" w:styleId="nfase">
    <w:name w:val="Emphasis"/>
    <w:basedOn w:val="Fontepargpadro"/>
    <w:uiPriority w:val="20"/>
    <w:qFormat/>
    <w:rsid w:val="00C7005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0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00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7005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70056"/>
    <w:rPr>
      <w:b/>
      <w:bCs/>
    </w:rPr>
  </w:style>
  <w:style w:type="character" w:customStyle="1" w:styleId="media-credit">
    <w:name w:val="media-credit"/>
    <w:basedOn w:val="Fontepargpadro"/>
    <w:rsid w:val="00C70056"/>
  </w:style>
  <w:style w:type="character" w:styleId="nfase">
    <w:name w:val="Emphasis"/>
    <w:basedOn w:val="Fontepargpadro"/>
    <w:uiPriority w:val="20"/>
    <w:qFormat/>
    <w:rsid w:val="00C7005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vir.org/categoria2/organizacao-soci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vir.org/categoria2/on-line" TargetMode="External"/><Relationship Id="rId12" Type="http://schemas.openxmlformats.org/officeDocument/2006/relationships/hyperlink" Target="http://porvir.org/porpensar/dissecando-ensino-superior-ate-2018/201304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vir.org/categoria2/governo" TargetMode="External"/><Relationship Id="rId11" Type="http://schemas.openxmlformats.org/officeDocument/2006/relationships/hyperlink" Target="http://porvir.org/author/redacao" TargetMode="External"/><Relationship Id="rId5" Type="http://schemas.openxmlformats.org/officeDocument/2006/relationships/hyperlink" Target="http://porvir.org/categoria2/empresa" TargetMode="External"/><Relationship Id="rId10" Type="http://schemas.openxmlformats.org/officeDocument/2006/relationships/hyperlink" Target="http://porvir.org/pais/internac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vir.org/categoria2/universida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Prado</dc:creator>
  <cp:lastModifiedBy>Cláudia Prado</cp:lastModifiedBy>
  <cp:revision>2</cp:revision>
  <dcterms:created xsi:type="dcterms:W3CDTF">2016-05-05T20:07:00Z</dcterms:created>
  <dcterms:modified xsi:type="dcterms:W3CDTF">2016-05-05T20:07:00Z</dcterms:modified>
</cp:coreProperties>
</file>