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3AC" w:rsidRPr="00E55FFF" w14:paraId="7152CC0D" w14:textId="77777777" w:rsidTr="00E113AC">
        <w:tc>
          <w:tcPr>
            <w:tcW w:w="8494" w:type="dxa"/>
          </w:tcPr>
          <w:p w14:paraId="0E2D0CDA" w14:textId="77777777" w:rsidR="00E113AC" w:rsidRPr="00E55FFF" w:rsidRDefault="00E113AC" w:rsidP="00E1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Mayra Grous – Nº USP: 9323921</w:t>
            </w:r>
          </w:p>
        </w:tc>
      </w:tr>
      <w:tr w:rsidR="00E113AC" w:rsidRPr="00E55FFF" w14:paraId="383C18AE" w14:textId="77777777" w:rsidTr="00E113AC">
        <w:tc>
          <w:tcPr>
            <w:tcW w:w="8494" w:type="dxa"/>
          </w:tcPr>
          <w:p w14:paraId="106B0C28" w14:textId="77777777" w:rsidR="00E113AC" w:rsidRPr="00E55FFF" w:rsidRDefault="00E113AC" w:rsidP="00E1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Universidade de São Paulo</w:t>
            </w:r>
          </w:p>
          <w:p w14:paraId="75BE10B4" w14:textId="77777777" w:rsidR="00E113AC" w:rsidRPr="00E55FFF" w:rsidRDefault="00E113AC" w:rsidP="00E1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Escola Superior de Agricultura Luiz de Queiroz</w:t>
            </w:r>
          </w:p>
          <w:p w14:paraId="1793AFBF" w14:textId="77777777" w:rsidR="00E113AC" w:rsidRPr="00E55FFF" w:rsidRDefault="00E113AC" w:rsidP="00E1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Disciplina: LCF270 - Educação Ambiental</w:t>
            </w:r>
          </w:p>
          <w:p w14:paraId="17C9EAA9" w14:textId="77777777" w:rsidR="00E113AC" w:rsidRPr="00E55FFF" w:rsidRDefault="00E113AC" w:rsidP="00E1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proofErr w:type="spellEnd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 Marcos </w:t>
            </w: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Sorrentino</w:t>
            </w:r>
            <w:proofErr w:type="spellEnd"/>
          </w:p>
        </w:tc>
      </w:tr>
      <w:tr w:rsidR="000117B0" w:rsidRPr="00E55FFF" w14:paraId="7739098F" w14:textId="77777777" w:rsidTr="000117B0">
        <w:tc>
          <w:tcPr>
            <w:tcW w:w="8494" w:type="dxa"/>
          </w:tcPr>
          <w:p w14:paraId="45AF6DD2" w14:textId="77777777" w:rsidR="000117B0" w:rsidRPr="00E55FFF" w:rsidRDefault="000117B0" w:rsidP="00011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Tratado de Educação Ambiental para</w:t>
            </w:r>
          </w:p>
          <w:p w14:paraId="27A16F56" w14:textId="6C1F3588" w:rsidR="000117B0" w:rsidRPr="00E55FFF" w:rsidRDefault="000117B0" w:rsidP="00011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Sociedades Sustentáveis e Responsabilidade Global</w:t>
            </w:r>
          </w:p>
        </w:tc>
      </w:tr>
      <w:tr w:rsidR="000117B0" w:rsidRPr="00E55FFF" w14:paraId="013EB1F4" w14:textId="77777777" w:rsidTr="000117B0">
        <w:tc>
          <w:tcPr>
            <w:tcW w:w="8494" w:type="dxa"/>
          </w:tcPr>
          <w:p w14:paraId="1A71AF0C" w14:textId="2E424CDC" w:rsidR="00661992" w:rsidRPr="00E55FFF" w:rsidRDefault="00661992" w:rsidP="00E5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O Tratado de Educação Ambiental para Sociedades Sustentáveis e Responsabilidade Global é um processo dinâmico e em constante construção. Seu intuito é proporcionar reflexão, debate e a sua própria modificação.</w:t>
            </w:r>
            <w:r w:rsidR="00E113AC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 Educação Ambiental é um processo de aprendizagem permanente, que se baseia no respeito à todas as formas de vida, afirmando valores e ações que contribuem para a transformação humana, social e ecológica.</w:t>
            </w:r>
          </w:p>
          <w:p w14:paraId="07C028F4" w14:textId="77777777" w:rsidR="00661992" w:rsidRPr="00E55FFF" w:rsidRDefault="00661992" w:rsidP="00E5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As mudanças necessárias dependem de uma compreensão coletiva, e é fundamental que as comunidades implementem suas próprias alternativas às políticas vigentes.</w:t>
            </w:r>
          </w:p>
          <w:p w14:paraId="30BA85FA" w14:textId="58698383" w:rsidR="00661992" w:rsidRPr="00E55FFF" w:rsidRDefault="00661992" w:rsidP="00E5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Dentro do Tratado, estão também inseridos Princípios da Educação para Sociedades Sustentáveis e Responsabilidade Global. Alguns deles são: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ducação é um direito de todos;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eve ter como base um pensamento crítico e inovador;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individual e coletiva ao mesmo tempo;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um ato político;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eve envolver uma perspectiva holística</w:t>
            </w:r>
            <w:r w:rsidR="005F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F70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estimular solidariedade, igualdade e respeito aos direitos humanos;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eve tratar questões globais críticas;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acilitar cooperação mútua nos processos de decisão;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stimular e potencializar os poderes de diversas populações;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judar a desenvolver consciência ética;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alorizar os diferentes conhecimentos, entre outros.</w:t>
            </w:r>
          </w:p>
          <w:p w14:paraId="3368F093" w14:textId="11AB7C75" w:rsidR="00661992" w:rsidRPr="00E55FFF" w:rsidRDefault="00661992" w:rsidP="00E5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Inserido no Tratado também está o Plano de Ação. As organizações que assinam este Tratado propõem implementar 22 ações com a intenção de fazer o Tratado funcionar.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As organizações que assinam também concordam com os Sistemas de Coordenação, Monitoramento e Avaliação. Alguns dos pontos são: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ifundir e promover em todos os Países o Tratado;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stimular e criar organizações, grupos de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ONG’s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 movimentos sociais;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roduzir materiais de divulgação;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esenvolver rede de educadores ambientais, entre outros.</w:t>
            </w:r>
          </w:p>
          <w:p w14:paraId="45043F1E" w14:textId="133BF22E" w:rsidR="00661992" w:rsidRPr="00E55FFF" w:rsidRDefault="00661992" w:rsidP="00E5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O Tratado é dirigido para grupos específicos, como organizações dos movimentos sociais, ongs comprometidas, profissionais da educação, responsáveis pelos meios de comunicação, cientistas, governos locais e nacionais, comunidades alternativas.</w:t>
            </w:r>
          </w:p>
          <w:p w14:paraId="6230B28D" w14:textId="626B2439" w:rsidR="00661992" w:rsidRPr="00E55FFF" w:rsidRDefault="00201C6C" w:rsidP="00E55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Ao assinar o Tratado, as organizações se comprometem a reservar alguns recursos, como por exemplo</w:t>
            </w:r>
            <w:r w:rsidR="000C01C4" w:rsidRPr="00E55FFF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047325" w:rsidRPr="00E55FFF">
              <w:rPr>
                <w:rFonts w:ascii="Times New Roman" w:hAnsi="Times New Roman" w:cs="Times New Roman"/>
                <w:sz w:val="24"/>
                <w:szCs w:val="24"/>
              </w:rPr>
              <w:t>eservar uma parte significativa de seus recursos para o desenvolvimento de programas educativos</w:t>
            </w:r>
            <w:r w:rsidR="000C01C4" w:rsidRPr="00E55FFF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047325" w:rsidRPr="00E55FFF">
              <w:rPr>
                <w:rFonts w:ascii="Times New Roman" w:hAnsi="Times New Roman" w:cs="Times New Roman"/>
                <w:sz w:val="24"/>
                <w:szCs w:val="24"/>
              </w:rPr>
              <w:t>ropor políticas econômicas que estimulem empresas a desenvolverem e aplicarem tecnologias apropriada</w:t>
            </w:r>
            <w:r w:rsidR="000C01C4" w:rsidRPr="00E55FFF">
              <w:rPr>
                <w:rFonts w:ascii="Times New Roman" w:hAnsi="Times New Roman" w:cs="Times New Roman"/>
                <w:sz w:val="24"/>
                <w:szCs w:val="24"/>
              </w:rPr>
              <w:t>s, entre outros.</w:t>
            </w:r>
          </w:p>
        </w:tc>
      </w:tr>
    </w:tbl>
    <w:p w14:paraId="242408D2" w14:textId="15731498" w:rsidR="00E113AC" w:rsidRPr="00E55FFF" w:rsidRDefault="00E113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3AC" w:rsidRPr="00E55FFF" w14:paraId="7F47895A" w14:textId="77777777" w:rsidTr="009616D7">
        <w:tc>
          <w:tcPr>
            <w:tcW w:w="8494" w:type="dxa"/>
          </w:tcPr>
          <w:p w14:paraId="387F1B4F" w14:textId="77777777" w:rsidR="00E113AC" w:rsidRPr="00E55FFF" w:rsidRDefault="00E113AC" w:rsidP="0096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Fichamento do episódio “The </w:t>
            </w: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Entire</w:t>
            </w:r>
            <w:proofErr w:type="spellEnd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(S01E03</w:t>
            </w:r>
            <w:proofErr w:type="gram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) ”</w:t>
            </w:r>
            <w:proofErr w:type="gramEnd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série Black </w:t>
            </w:r>
            <w:proofErr w:type="spellStart"/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Mirror</w:t>
            </w:r>
            <w:proofErr w:type="spellEnd"/>
          </w:p>
        </w:tc>
      </w:tr>
      <w:tr w:rsidR="00E113AC" w:rsidRPr="00E55FFF" w14:paraId="750473CD" w14:textId="77777777" w:rsidTr="009616D7">
        <w:tc>
          <w:tcPr>
            <w:tcW w:w="8494" w:type="dxa"/>
          </w:tcPr>
          <w:p w14:paraId="766D31DC" w14:textId="77777777" w:rsidR="00E113AC" w:rsidRPr="00E55FFF" w:rsidRDefault="00E113AC" w:rsidP="009616D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  <w:p w14:paraId="561EC1FA" w14:textId="77777777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Esse fichamento foi proposto pela disciplina LCF270 – Educação Ambiental, ministrada pelo Professor Marcos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Sorrentino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. O intuito é realizar um fichamento sobre uma utopia, e escolhi fazer sobre utopia tecnológica, abordada nesse episódio. “The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Entire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” é o terceiro episódio da primeira temporada da série britânica Black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Mirror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3AC" w:rsidRPr="00E55FFF" w14:paraId="368BA122" w14:textId="77777777" w:rsidTr="009616D7">
        <w:tc>
          <w:tcPr>
            <w:tcW w:w="8494" w:type="dxa"/>
          </w:tcPr>
          <w:p w14:paraId="46DB7376" w14:textId="77777777" w:rsidR="00E113AC" w:rsidRPr="00E55FFF" w:rsidRDefault="00E113AC" w:rsidP="009616D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Ficha Técnica</w:t>
            </w:r>
          </w:p>
          <w:p w14:paraId="6BE95699" w14:textId="77777777" w:rsidR="00E113AC" w:rsidRPr="00E55FFF" w:rsidRDefault="00E113AC" w:rsidP="009616D7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Direção: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Brian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Welsh</w:t>
            </w:r>
            <w:proofErr w:type="spellEnd"/>
          </w:p>
          <w:p w14:paraId="71AC1886" w14:textId="77777777" w:rsidR="00E113AC" w:rsidRPr="00E55FFF" w:rsidRDefault="00E113AC" w:rsidP="009616D7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Escrito por: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Jesse Armstrong</w:t>
            </w:r>
          </w:p>
          <w:p w14:paraId="7235D113" w14:textId="77777777" w:rsidR="00E113AC" w:rsidRPr="00E55FFF" w:rsidRDefault="00E113AC" w:rsidP="009616D7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Duração: 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44 minutos</w:t>
            </w:r>
          </w:p>
          <w:p w14:paraId="15A2C49C" w14:textId="77777777" w:rsidR="00E113AC" w:rsidRPr="00E55FFF" w:rsidRDefault="00E113AC" w:rsidP="009616D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Exibido em: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18 de </w:t>
            </w:r>
            <w:proofErr w:type="gram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proofErr w:type="gram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de 2011</w:t>
            </w:r>
          </w:p>
          <w:p w14:paraId="205D4E25" w14:textId="77777777" w:rsidR="00E113AC" w:rsidRPr="00E55FFF" w:rsidRDefault="00E113AC" w:rsidP="009616D7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Atores principais: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Toby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Kebbel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, Jodie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Whittaker</w:t>
            </w:r>
            <w:proofErr w:type="spellEnd"/>
          </w:p>
        </w:tc>
      </w:tr>
      <w:tr w:rsidR="00E113AC" w:rsidRPr="00E55FFF" w14:paraId="49D30426" w14:textId="77777777" w:rsidTr="009616D7">
        <w:tc>
          <w:tcPr>
            <w:tcW w:w="8494" w:type="dxa"/>
          </w:tcPr>
          <w:p w14:paraId="25B157F7" w14:textId="77777777" w:rsidR="00E113AC" w:rsidRPr="00E55FFF" w:rsidRDefault="00E113AC" w:rsidP="009616D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Sobre o episódio</w:t>
            </w:r>
          </w:p>
          <w:p w14:paraId="4E86CD3E" w14:textId="4ED35B21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O episódio mostra uma realidade alternativa onde a maioria das pessoas possuem um implante denominado “Grão” atrás da orelha, que registra todas as suas memórias, permitindo que elas sejam reproduzidas nos olhos da pessoa ou em uma tela. A história foca no personagem Liam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Foxwell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, um advogado jovem. O episódio se inicia com Liam realizando uma entrevista de emprego. Ele parece desconfortável com a situação. Após sair da entrevista, Liam fica revendo as memórias dentro de um taxi. Ele vai à um jantar na casa de amigos de sua esposa,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. Chegando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, ele encontra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conversando com um homem que não conhece, e fica desconfiado.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parece desconcertada ao ver que Liam chegou, e o apresenta ao homem, cujo nome é Jonas.</w:t>
            </w:r>
          </w:p>
          <w:p w14:paraId="59C80050" w14:textId="4550C6FA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45E88" w:rsidRPr="00E55FFF">
              <w:rPr>
                <w:rFonts w:ascii="Times New Roman" w:hAnsi="Times New Roman" w:cs="Times New Roman"/>
                <w:sz w:val="24"/>
                <w:szCs w:val="24"/>
              </w:rPr>
              <w:t>episódio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se desenvolve em cima dessa desconfiança de Liam sobre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 Jonas. Quando eles já chegaram em sua casa, Liam incita sobre um possível relacionamento de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com Jonas.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acaba confessando que houve um caso, mas foi coisa passageira. Eles discutem, mas em seguida Liam pede desculpas. Enquanto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dorme, Liam fica repassando as memórias do jantar até amanhecer. Liam acaba encontrando provas do relacionamento de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 Jonas. Após discutirem, Liam vai até a casa de Jonas e o obriga a apagar todas as memórias de sua esposa. Em uma delas, ele repara no quadro de seu quarto que aparece no fundo, confirmando que o caso foi muito mais recente do que espera.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confessa e Liam deduz que não e de fato pai de sua filha. </w:t>
            </w:r>
          </w:p>
          <w:p w14:paraId="68C0DC5E" w14:textId="6D2EBDDA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Na cena final, Liam está de frente para um espelho, comparando memórias antigas com atuais, antes com sua esposa, e agora sem. Ele pega 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>uma gilete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 arranca seu implante, dando fim às suas memórias.</w:t>
            </w:r>
          </w:p>
        </w:tc>
      </w:tr>
      <w:tr w:rsidR="00E113AC" w:rsidRPr="00E55FFF" w14:paraId="68318014" w14:textId="77777777" w:rsidTr="009616D7">
        <w:tc>
          <w:tcPr>
            <w:tcW w:w="8494" w:type="dxa"/>
          </w:tcPr>
          <w:p w14:paraId="3F530544" w14:textId="77777777" w:rsidR="00E113AC" w:rsidRPr="00E55FFF" w:rsidRDefault="00E113AC" w:rsidP="009616D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Análise Crítica</w:t>
            </w:r>
          </w:p>
          <w:p w14:paraId="6EFDC4E9" w14:textId="44EB62F2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O intuito do episódio, assim como a maior parte da série Black </w:t>
            </w:r>
            <w:proofErr w:type="spellStart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Mirror</w:t>
            </w:r>
            <w:proofErr w:type="spellEnd"/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, é impactar e mostrar que, por mais perfeita que seja a tecnologia, podem haver muitas consequências drásticas e ruins na vida das pessoas, principalmente quando elas começam a ficar dependentes desta</w:t>
            </w:r>
            <w:r w:rsidR="00245E88" w:rsidRPr="00E55FFF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18781C3A" w14:textId="14B2A72D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No episódio, todas as pessoas possuíam o Grão, exceto por uma personagem, cujo grão havia sido roubado. No momento em que ela contou que não possuía o implante, todos ficaram chocados, como se não fosse possível viver sem ele. Ela afirma que após o roubo, se sentiu muito melhor sem ele.</w:t>
            </w:r>
          </w:p>
          <w:p w14:paraId="52DFA108" w14:textId="77777777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Liam é um exemplo clássico do dependente da tecnologia. Quando ele se depara com uma situação de desconfiança, ele recorre a ela sem hesitar. E por mais que sua intuição estivesse certa, a tecnologia destruiu seu relacionamento e o deixou obcecado, levando-o a agir violentamente com sua esposa e Jonas.</w:t>
            </w:r>
          </w:p>
        </w:tc>
      </w:tr>
      <w:tr w:rsidR="00E113AC" w:rsidRPr="00E55FFF" w14:paraId="65BABA2C" w14:textId="77777777" w:rsidTr="009616D7">
        <w:tc>
          <w:tcPr>
            <w:tcW w:w="8494" w:type="dxa"/>
          </w:tcPr>
          <w:p w14:paraId="4E0B66BE" w14:textId="77777777" w:rsidR="00E113AC" w:rsidRPr="00E55FFF" w:rsidRDefault="00E113AC" w:rsidP="009616D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</w:p>
          <w:p w14:paraId="26715AF2" w14:textId="5200BDDA" w:rsidR="00E113AC" w:rsidRPr="00E55FFF" w:rsidRDefault="00E113AC" w:rsidP="009616D7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A conclusão que tiramos deste episódio é que, por mais que uma tecnologia pareça incrível e necessária</w:t>
            </w:r>
            <w:r w:rsidR="00245E88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na vida das pessoas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>, nem sempre ela vai trazer coisas boas. Se não for usada com precaução, ela pode te controlar sem mesmo você perceber. O Grão havia sido criado para que memórias não fossem perdidas, mas acabou destruindo relacionamentos.</w:t>
            </w:r>
          </w:p>
        </w:tc>
      </w:tr>
    </w:tbl>
    <w:p w14:paraId="2E0E3914" w14:textId="2D4E77F3" w:rsidR="00E55FFF" w:rsidRDefault="00E55FFF">
      <w:pPr>
        <w:rPr>
          <w:rFonts w:ascii="Times New Roman" w:hAnsi="Times New Roman" w:cs="Times New Roman"/>
          <w:sz w:val="24"/>
          <w:szCs w:val="24"/>
        </w:rPr>
      </w:pPr>
    </w:p>
    <w:p w14:paraId="365C742E" w14:textId="13E1C674" w:rsidR="005F70AB" w:rsidRDefault="005F70AB">
      <w:pPr>
        <w:rPr>
          <w:rFonts w:ascii="Times New Roman" w:hAnsi="Times New Roman" w:cs="Times New Roman"/>
          <w:sz w:val="24"/>
          <w:szCs w:val="24"/>
        </w:rPr>
      </w:pPr>
    </w:p>
    <w:p w14:paraId="57871D64" w14:textId="77777777" w:rsidR="005F70AB" w:rsidRPr="00E55FFF" w:rsidRDefault="005F70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3AC" w:rsidRPr="00E55FFF" w14:paraId="3E252373" w14:textId="77777777" w:rsidTr="00E113AC">
        <w:tc>
          <w:tcPr>
            <w:tcW w:w="8494" w:type="dxa"/>
          </w:tcPr>
          <w:p w14:paraId="18F65B9C" w14:textId="71D8BFFC" w:rsidR="00E113AC" w:rsidRPr="00E55FFF" w:rsidRDefault="00E1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Ação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Prioritária</w:t>
            </w: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FFF">
              <w:rPr>
                <w:rFonts w:ascii="Times New Roman" w:hAnsi="Times New Roman" w:cs="Times New Roman"/>
                <w:b/>
                <w:sz w:val="24"/>
                <w:szCs w:val="24"/>
              </w:rPr>
              <w:t>MIP</w:t>
            </w:r>
          </w:p>
        </w:tc>
      </w:tr>
      <w:tr w:rsidR="00E113AC" w:rsidRPr="00E55FFF" w14:paraId="6BCC7DAA" w14:textId="77777777" w:rsidTr="00E113AC">
        <w:tc>
          <w:tcPr>
            <w:tcW w:w="8494" w:type="dxa"/>
          </w:tcPr>
          <w:p w14:paraId="6A3419BE" w14:textId="681DB7A7" w:rsidR="00E113AC" w:rsidRPr="00E55FFF" w:rsidRDefault="00E113AC" w:rsidP="001B409B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Ações prioritárias </w:t>
            </w:r>
            <w:r w:rsidR="00245E88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devem sempre começar se baseando em pequenas coisas. </w:t>
            </w:r>
            <w:r w:rsidR="001B409B" w:rsidRPr="00E55FFF">
              <w:rPr>
                <w:rFonts w:ascii="Times New Roman" w:hAnsi="Times New Roman" w:cs="Times New Roman"/>
                <w:sz w:val="24"/>
                <w:szCs w:val="24"/>
              </w:rPr>
              <w:t>Uma das ações que podemos começar a realizar seria pequenas intervenções com as próprias pessoas que convivemos. Pequenos diálogos sobre empatia, sororidade, respeito, a fim de haver um melhor convívio social. Diálogos sobre o meio ambiente, como preserva-lo, como realizar sua coleta, não jogar lixo na rua. Informar meios de realizar ações e porque elas são atitudes boas</w:t>
            </w:r>
            <w:r w:rsidR="00E55FFF" w:rsidRPr="00E55FFF">
              <w:rPr>
                <w:rFonts w:ascii="Times New Roman" w:hAnsi="Times New Roman" w:cs="Times New Roman"/>
                <w:sz w:val="24"/>
                <w:szCs w:val="24"/>
              </w:rPr>
              <w:t xml:space="preserve"> e necessárias no dia-a-dia.</w:t>
            </w:r>
          </w:p>
        </w:tc>
      </w:tr>
    </w:tbl>
    <w:p w14:paraId="2CEE6DE5" w14:textId="77777777" w:rsidR="00E113AC" w:rsidRPr="00E55FFF" w:rsidRDefault="00E113AC">
      <w:pPr>
        <w:rPr>
          <w:rFonts w:ascii="Times New Roman" w:hAnsi="Times New Roman" w:cs="Times New Roman"/>
          <w:sz w:val="24"/>
          <w:szCs w:val="24"/>
        </w:rPr>
      </w:pPr>
    </w:p>
    <w:sectPr w:rsidR="00E113AC" w:rsidRPr="00E55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6497"/>
    <w:multiLevelType w:val="hybridMultilevel"/>
    <w:tmpl w:val="30383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6C"/>
    <w:rsid w:val="000117B0"/>
    <w:rsid w:val="00047325"/>
    <w:rsid w:val="000C01C4"/>
    <w:rsid w:val="001B409B"/>
    <w:rsid w:val="00201C6C"/>
    <w:rsid w:val="00245E88"/>
    <w:rsid w:val="003E376C"/>
    <w:rsid w:val="00407823"/>
    <w:rsid w:val="0046118A"/>
    <w:rsid w:val="005F70AB"/>
    <w:rsid w:val="00661992"/>
    <w:rsid w:val="00E113AC"/>
    <w:rsid w:val="00E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C10"/>
  <w15:chartTrackingRefBased/>
  <w15:docId w15:val="{21855317-2085-4965-A410-1ACBEB3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926D-AF33-47F4-A868-71762F07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Grous</dc:creator>
  <cp:keywords/>
  <dc:description/>
  <cp:lastModifiedBy>Mayra Grous</cp:lastModifiedBy>
  <cp:revision>7</cp:revision>
  <dcterms:created xsi:type="dcterms:W3CDTF">2018-03-05T20:43:00Z</dcterms:created>
  <dcterms:modified xsi:type="dcterms:W3CDTF">2018-03-07T18:20:00Z</dcterms:modified>
</cp:coreProperties>
</file>