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EXCELENTÍSSIMO SENHOR DOUTOR JUIZ DE DIREITO DA 2ª VARA DO TRIBUNAL REGIONAL FEDERAL DA 1ª REGIÃO</w:t>
      </w: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P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047" w:rsidRP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Nº: 2005.39.02.001667-1</w:t>
      </w: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P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Pr="0006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Alcoa S/A</w:t>
      </w:r>
      <w:r w:rsidR="00245874">
        <w:rPr>
          <w:rFonts w:ascii="Times New Roman" w:eastAsia="Times New Roman" w:hAnsi="Times New Roman" w:cs="Times New Roman"/>
          <w:color w:val="000000"/>
          <w:sz w:val="24"/>
          <w:szCs w:val="24"/>
        </w:rPr>
        <w:t>, pessoa jurídica de direito privado interno,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vem, por meio de seus advogados que esta </w:t>
      </w:r>
      <w:proofErr w:type="gramStart"/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subscrevem</w:t>
      </w:r>
      <w:proofErr w:type="gramEnd"/>
      <w:r w:rsidR="00245874">
        <w:rPr>
          <w:rFonts w:ascii="Times New Roman" w:eastAsia="Times New Roman" w:hAnsi="Times New Roman" w:cs="Times New Roman"/>
          <w:color w:val="000000"/>
          <w:sz w:val="24"/>
          <w:szCs w:val="24"/>
        </w:rPr>
        <w:t>, constituídos por instrumento de mandato anexo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, tempestiva e respeitosamente à presen</w:t>
      </w:r>
      <w:r w:rsidR="00245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ça de vossa excelência apresentar </w:t>
      </w:r>
      <w:r w:rsidR="002458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CONTESTAÇÃO </w:t>
      </w:r>
      <w:r w:rsidR="00245874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ação civil pública proposta pelo Ministério Público Federal e Estadual, com base nos motivos de fato e de direito a seguir expostos.</w:t>
      </w:r>
    </w:p>
    <w:p w:rsidR="00061047" w:rsidRDefault="00061047" w:rsidP="00061047">
      <w:pPr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12DE" w:rsidRDefault="00061047" w:rsidP="005A12DE">
      <w:pPr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- DOS FATOS</w:t>
      </w:r>
    </w:p>
    <w:p w:rsidR="005A12DE" w:rsidRDefault="005A12DE" w:rsidP="005A12DE">
      <w:pPr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CAA" w:rsidRDefault="005A12DE" w:rsidP="005A12D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B3CAA" w:rsidRDefault="006B3CAA" w:rsidP="005A12D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 Ministério Público ingressou com ação civil pública, objetivando a anulação do processo administrativo que concedeu à Ré o licenciamento ambiental para exploração da jazida de bauxita no município de Juriti, localizado no Estado do Pará.</w:t>
      </w:r>
    </w:p>
    <w:p w:rsidR="006B3CAA" w:rsidRDefault="006B3CAA" w:rsidP="005A12D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CAA" w:rsidRDefault="006B3CAA" w:rsidP="005A12D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Como será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seguir a ação deve ser julgada improcedente.</w:t>
      </w:r>
    </w:p>
    <w:p w:rsidR="006B3CAA" w:rsidRDefault="006B3CAA" w:rsidP="005A12D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2DE" w:rsidRDefault="006B3CAA" w:rsidP="005A12D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12DE"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Autor apresenta os argumentos de que a SECTAM carece de competência: a) por incapacidade técnica no encaminhamento de procedimento tão complexo, b) pela extensão dos efeitos que extravasam a área de competência Estadual, </w:t>
      </w:r>
      <w:r w:rsidR="005A12DE"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c) pela existência de comunidade tradicional na região, d) pela ausência de quarta audiência para ouvir representantes </w:t>
      </w:r>
      <w:proofErr w:type="gramStart"/>
      <w:r w:rsidR="005A12DE"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do Juriti</w:t>
      </w:r>
      <w:proofErr w:type="gramEnd"/>
      <w:r w:rsidR="005A12DE"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Velho</w:t>
      </w:r>
      <w:r w:rsidR="005A12DE">
        <w:rPr>
          <w:rFonts w:ascii="Times New Roman" w:eastAsia="Times New Roman" w:hAnsi="Times New Roman" w:cs="Times New Roman"/>
          <w:color w:val="000000"/>
          <w:sz w:val="24"/>
          <w:szCs w:val="24"/>
        </w:rPr>
        <w:t>; e por isso pugna nulidade do processo administrativo.</w:t>
      </w: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047" w:rsidRPr="00061047" w:rsidRDefault="00061047" w:rsidP="00061047">
      <w:pPr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Em 2000, a empresa norte-americana ALCOA adquiriu a empresa REYNOLDS METALS, que já fazia extração mineral na região de Juruti, município localizado no oeste do estado do Pará, na margem direita do rio Amazonas, na divisa com o Amazonas.</w:t>
      </w:r>
    </w:p>
    <w:p w:rsidR="00061047" w:rsidRDefault="00061047" w:rsidP="00061047">
      <w:pPr>
        <w:spacing w:after="0" w:line="360" w:lineRule="auto"/>
        <w:ind w:firstLine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047" w:rsidRPr="00061047" w:rsidRDefault="00061047" w:rsidP="00061047">
      <w:pPr>
        <w:spacing w:after="0" w:line="360" w:lineRule="auto"/>
        <w:ind w:firstLine="2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descobrir que Juruti possuía um dos maiores depósitos de bauxita de alta qualidade do mundo, a ALCOA decidiu investir em empreendimento na região. O projeto movimentou cerca de um bilhão de reais, e envolveu quase </w:t>
      </w:r>
      <w:proofErr w:type="gramStart"/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 trabalhadores para a montagem da infraestrutura no período de 30 meses (fase de implantação) e, posteriormente, de 1.181 trabalhadores diretos na mineração (fase de operação).</w:t>
      </w:r>
    </w:p>
    <w:p w:rsidR="00061047" w:rsidRDefault="00061047" w:rsidP="00061047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047" w:rsidRDefault="00061047" w:rsidP="00061047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Cumprindo as determinações legais, a ALCOA realizou o EIA/RIMA e obteve a licença Prévia e a Licença de Instalação em 2005, dando início às atividades de construção apenas em junho de 2006, quando a empresa chegou à Juruti. Em dezembro de 2007, a Licença de Instalação foi renovada. Em setembro de 2009, a operação teve início.</w:t>
      </w:r>
    </w:p>
    <w:p w:rsidR="00061047" w:rsidRDefault="00061047" w:rsidP="00061047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1047" w:rsidRDefault="00061047" w:rsidP="00061047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047" w:rsidRDefault="00061047" w:rsidP="00061047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competência de realizar o licenciamento coube à SECTAM, órgão estadual de execução e fiscalização da política ambiental, que estabele</w:t>
      </w:r>
      <w:r w:rsidR="00AA0F2E">
        <w:rPr>
          <w:rFonts w:ascii="Times New Roman" w:eastAsia="Times New Roman" w:hAnsi="Times New Roman" w:cs="Times New Roman"/>
          <w:color w:val="000000"/>
          <w:sz w:val="24"/>
          <w:szCs w:val="24"/>
        </w:rPr>
        <w:t>ceu 52 condições cuja observância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obrigatória à empresa mineradora para obtenção de licença de instalação.</w:t>
      </w:r>
    </w:p>
    <w:p w:rsidR="00061047" w:rsidRDefault="00061047" w:rsidP="00061047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874" w:rsidRPr="00061047" w:rsidRDefault="00245874" w:rsidP="00061047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047" w:rsidRDefault="00061047" w:rsidP="00061047">
      <w:pPr>
        <w:spacing w:after="0" w:line="360" w:lineRule="auto"/>
        <w:ind w:firstLine="22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Pr="00061047" w:rsidRDefault="00061047" w:rsidP="00061047">
      <w:pPr>
        <w:spacing w:after="0" w:line="360" w:lineRule="auto"/>
        <w:ind w:firstLine="2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- DO DIREITO</w:t>
      </w:r>
    </w:p>
    <w:p w:rsidR="00AA0F2E" w:rsidRDefault="00061047" w:rsidP="00AA0F2E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61047" w:rsidRDefault="00AA0F2E" w:rsidP="00AA0F2E">
      <w:pPr>
        <w:spacing w:after="0" w:line="360" w:lineRule="auto"/>
        <w:ind w:firstLine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 efeito, a Ré,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além da obrigação imposta pelos órgãos competentes, realizou projeto amplo de melhoria socioeconômica e socioambiental da 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cidade, buscando compensar além do prescrito pelas autoridades, o que denota a boa-fé com que se houve desde o momento inicial das tratativas e se manteve mesmo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depois 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encerrada a fase de licenciamento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0F2E" w:rsidRPr="00061047" w:rsidRDefault="00AA0F2E" w:rsidP="00AA0F2E">
      <w:pPr>
        <w:spacing w:after="0" w:line="360" w:lineRule="auto"/>
        <w:ind w:firstLine="22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F2E" w:rsidRDefault="00AA0F2E" w:rsidP="00AA0F2E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A obtenção da licença de instalação, que foi renovada posteriormente, e da licença de operação denotam</w:t>
      </w:r>
      <w:proofErr w:type="gramEnd"/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cumprimento de todas as obrigações e condições estab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elecidas por parte da SECTAM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0F2E" w:rsidRDefault="00AA0F2E" w:rsidP="00AA0F2E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F2E" w:rsidRDefault="00AA0F2E" w:rsidP="00AA0F2E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Dessa forma, todos os trâmites legais e regulamentares foram superados de maneira exemplar pela Ré, cumprindo com todas as suas obrigações legais e, pode-se dizer, até morais, tendo em vista que a empresa se auto-obrigou à realização e execução de projetos por sua própria conta.</w:t>
      </w:r>
    </w:p>
    <w:p w:rsidR="00061047" w:rsidRDefault="00061047" w:rsidP="00061047">
      <w:pPr>
        <w:spacing w:after="0" w:line="360" w:lineRule="auto"/>
        <w:ind w:firstLine="22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047" w:rsidRDefault="00245874" w:rsidP="00061047">
      <w:pPr>
        <w:spacing w:after="0" w:line="360" w:lineRule="auto"/>
        <w:ind w:firstLine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61047"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argumentação do Autor de que a SECTAM carece de competência não merece acolhimento, como será demonstrado adiant</w:t>
      </w:r>
      <w:r w:rsid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061047" w:rsidRDefault="00061047" w:rsidP="00061047">
      <w:pPr>
        <w:spacing w:after="0" w:line="360" w:lineRule="auto"/>
        <w:ind w:firstLine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047" w:rsidRPr="00061047" w:rsidRDefault="00061047" w:rsidP="00061047">
      <w:pPr>
        <w:spacing w:after="0" w:line="360" w:lineRule="auto"/>
        <w:ind w:firstLine="2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definido na resolução 237 do Conselho Nacional do Meio Ambiente (CONAMA) em seu art. 7º e </w:t>
      </w:r>
      <w:r w:rsidRPr="000610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caput 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art. 13 da LC 140/2011, o procedimento de licenciamento seguirá a regra da unicidade, o que significa que somente um ente federativo pode emitir licença. </w:t>
      </w:r>
    </w:p>
    <w:p w:rsidR="00061047" w:rsidRP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047" w:rsidRPr="00061047" w:rsidRDefault="00061047" w:rsidP="0006104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0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Art. 7º - Os empreendimentos e atividades serão licenciados em um único nível de competência, conforme estabelecido nos artigos anteriores.</w:t>
      </w:r>
    </w:p>
    <w:p w:rsidR="00061047" w:rsidRP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1047" w:rsidRPr="00061047" w:rsidRDefault="00061047" w:rsidP="0006104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0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Art. 13.  Os empreendimentos e atividades são licenciados ou autorizados, ambientalmente, por um único ente federativo, em conformidade com as atribuições estabelecidas nos termos desta Lei Complementar. </w:t>
      </w:r>
    </w:p>
    <w:p w:rsidR="00061047" w:rsidRP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047" w:rsidRDefault="00061047" w:rsidP="00061047">
      <w:pPr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-se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-ia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aqui, cogitar de violação do art. 23 da Constituição Federal, que trata da competência comum da União, Estados, Distrito Federal e Municípios, o que, contudo, não ocorre. Posto que, embora a matéria seja de competência comum, não está excluída a participação dos demais entes federativos no procedimento </w:t>
      </w:r>
      <w:proofErr w:type="spellStart"/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licenciatório</w:t>
      </w:r>
      <w:proofErr w:type="spellEnd"/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na medida que</w:t>
      </w:r>
      <w:proofErr w:type="gramEnd"/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 se contempla no capítulo III da lei complementar 140/2011, que trata da cooperação entre os entes federativos. 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Competência comum não implica impossibilidade de, por meio de lei, se especificar a forma de atuação dos entes, evitando-se conflitos normativos.</w:t>
      </w:r>
    </w:p>
    <w:p w:rsidR="00061047" w:rsidRDefault="00061047" w:rsidP="00061047">
      <w:pPr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047" w:rsidRPr="00061047" w:rsidRDefault="00061047" w:rsidP="00061047">
      <w:pPr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Dessa forma, havia a efetiva possibilidade de a União, na insuficiência técnica do órgão incumbido do procedimento administrativo impugnado, colaborar e cooperar na suscitação de informações mais detalhadas por parte do empreendedor. Essa é a decorrência natural da faculdade da aç</w:t>
      </w:r>
      <w:r w:rsidR="00DF3445">
        <w:rPr>
          <w:rFonts w:ascii="Times New Roman" w:eastAsia="Times New Roman" w:hAnsi="Times New Roman" w:cs="Times New Roman"/>
          <w:color w:val="000000"/>
          <w:sz w:val="24"/>
          <w:szCs w:val="24"/>
        </w:rPr>
        <w:t>ão subsidiária atribuída pela Lei Complementar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140/2011 em seu art</w:t>
      </w:r>
      <w:r w:rsidR="00DF3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igo 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aos entes de federativos. </w:t>
      </w:r>
    </w:p>
    <w:p w:rsidR="00061047" w:rsidRP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047" w:rsidRPr="00061047" w:rsidRDefault="00061047" w:rsidP="0006104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0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Art. 16.  A ação administrativa subsidiária dos entes federativos dar-se-á por meio de apoio técnico, científico, administrativo ou financeiro, sem prejuízo de outras formas de cooperação. </w:t>
      </w:r>
    </w:p>
    <w:p w:rsidR="00061047" w:rsidRPr="00061047" w:rsidRDefault="00061047" w:rsidP="0006104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0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Parágrafo único.  A ação subsidiária deve ser solicitada pelo ente originariamente detentor da atribuição nos termos desta Lei Complementar. </w:t>
      </w:r>
    </w:p>
    <w:p w:rsidR="00061047" w:rsidRP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047" w:rsidRDefault="00061047" w:rsidP="00061047">
      <w:pPr>
        <w:spacing w:after="0" w:line="360" w:lineRule="auto"/>
        <w:ind w:firstLine="2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Mesmo que não </w:t>
      </w:r>
      <w:proofErr w:type="gramStart"/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vinculante, em regra, tal</w:t>
      </w:r>
      <w:proofErr w:type="gramEnd"/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medida poderia vincular o solicitante da licença desde que o órgão competente a aceitasse. Entretanto, tal conjectura que se faz aqui não merece ser considerada, posto que tal medida não </w:t>
      </w:r>
      <w:proofErr w:type="gramStart"/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foi</w:t>
      </w:r>
      <w:proofErr w:type="gramEnd"/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adotada pelo órgão federal responsável por tal. Muito provavelmente essa “omissão” do órgão federal resulta do fato de considerar a SECTAM competente, </w:t>
      </w:r>
      <w:r w:rsidRPr="000610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lato </w:t>
      </w:r>
      <w:proofErr w:type="spellStart"/>
      <w:r w:rsidRPr="000610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sensu</w:t>
      </w:r>
      <w:proofErr w:type="spellEnd"/>
      <w:r w:rsidRPr="000610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 realização do conjunto ordenado de atos administrativos.</w:t>
      </w:r>
    </w:p>
    <w:p w:rsidR="00061047" w:rsidRDefault="00061047" w:rsidP="00061047">
      <w:pPr>
        <w:spacing w:after="0" w:line="360" w:lineRule="auto"/>
        <w:ind w:firstLine="2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047" w:rsidRDefault="00061047" w:rsidP="00061047">
      <w:pPr>
        <w:spacing w:after="0" w:line="360" w:lineRule="auto"/>
        <w:ind w:firstLine="2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Além disso, o Autor alega a falta de capacitação técnica da SECTAM para um projeto de envergadura tal. No entanto, a alegação de ausência de capacitação técnica não se sustenta por si própria, sendo imperioso que se aponte o critério legal para tal consideração, </w:t>
      </w:r>
      <w:proofErr w:type="gramStart"/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corromper o Estado de Direito e qualquer garantia de direito, em troca de am</w:t>
      </w:r>
      <w:r w:rsidR="0054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 e atroz discricionariedade 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onde não há espaço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1047" w:rsidRDefault="00061047" w:rsidP="00061047">
      <w:pPr>
        <w:spacing w:after="0" w:line="360" w:lineRule="auto"/>
        <w:ind w:firstLine="2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047" w:rsidRDefault="00061047" w:rsidP="00061047">
      <w:pPr>
        <w:spacing w:after="0" w:line="360" w:lineRule="auto"/>
        <w:ind w:firstLine="2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Veja-se o critério de atuação supletiva no licenciamento, consubstanciado no art</w:t>
      </w:r>
      <w:r w:rsidR="0054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igo 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15 incisos da lei complementar em comento. Por atividade supletiva, pode ser entendida aquela em que a competência de um ente surge pela incapacidade de o ente federativo originariamente competente realizar o licenciamento (art</w:t>
      </w:r>
      <w:r w:rsidR="00542CFC">
        <w:rPr>
          <w:rFonts w:ascii="Times New Roman" w:eastAsia="Times New Roman" w:hAnsi="Times New Roman" w:cs="Times New Roman"/>
          <w:color w:val="000000"/>
          <w:sz w:val="24"/>
          <w:szCs w:val="24"/>
        </w:rPr>
        <w:t>igo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2º, II) por lhe faltar um dos dois requisitos necessários para tal: a) inexistência de órgão capacitado; b) inexistência de conselho de meio ambiente. Os dois requisitos são 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preenchidos na regulamentação a nível estadual que se procedeu em Juriti. Logo, impossível alegar incompetência por incapacidade técnica. Mesmo porque, como mencionado havia a possibilidade de “apoio técnico, científico, administrativo ou financeiro”</w:t>
      </w:r>
      <w:r w:rsidR="00DF3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 w:rsidR="00DF3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igo 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DF3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Lei Complementar em comento.</w:t>
      </w:r>
      <w:r w:rsidR="0054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7A49" w:rsidRDefault="00FD7A49" w:rsidP="00061047">
      <w:pPr>
        <w:spacing w:after="0" w:line="360" w:lineRule="auto"/>
        <w:ind w:firstLine="2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A49" w:rsidRPr="00061047" w:rsidRDefault="00FD7A49" w:rsidP="00061047">
      <w:pPr>
        <w:spacing w:after="0" w:line="360" w:lineRule="auto"/>
        <w:ind w:firstLine="2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Ora, a lei determina os critérios para avaliar a capacidade técnica do órgão responsável pelo licenciamento, quais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sejam,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existencial de conselho ambiental e órgão capacitado. Além desses critérios, há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 outro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denota a incapacidade superveniente, que é o esgotamento do prazo para emissão da licença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injustuficadamente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 critérios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permitem a atuação supletiva de outro ente federativo, e parecem ser exaustivos.  Mesmo porque a incompetência é exceção no sistema da Lei Complementar 140/2011, sendo necessário interpretá-la restritivamente.</w:t>
      </w:r>
    </w:p>
    <w:p w:rsidR="00061047" w:rsidRDefault="00061047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047" w:rsidRPr="00061047" w:rsidRDefault="00061047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O argumento do extravasamento dos efeitos negativos da atividade para outros estados não é argumento absoluto que se sustenta pela sua mera elocução, é necessário analisa</w:t>
      </w:r>
      <w:r w:rsidR="005A12D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caso que se tem em mãos. Ora, apesar de a jazida extravasar o Estado do Pará, o que se observa do mapa, a exploração mineradora desse material não obriga a exploração de toda a área ocupada pela jazida concomitantemente.</w:t>
      </w:r>
    </w:p>
    <w:p w:rsidR="00061047" w:rsidRDefault="00061047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047" w:rsidRPr="00061047" w:rsidRDefault="00061047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Como o senso comum pode desvendar, a exploração mineral ocorre, no mais das vezes, de trechos em trechos, esgotando-se o mi</w:t>
      </w:r>
      <w:r w:rsidR="00DF3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nério de cada área para só depois 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partir-se para outra área.</w:t>
      </w:r>
      <w:r w:rsidR="005A1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Pois bem, a exploração se dá 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em Juriti, o que significa que mesmo sendo</w:t>
      </w:r>
      <w:r w:rsidR="00DF3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município fronteiriço com Parintins, cidade localizada no estado do Amazonas, a exploração não se dará nessa última. Portanto, não há que se cogitar de empreendimento interestadual. A jazida é interestadual, não o é o empreendimento.</w:t>
      </w:r>
    </w:p>
    <w:p w:rsidR="00061047" w:rsidRDefault="00061047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047" w:rsidRPr="00061047" w:rsidRDefault="00061047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A existência de comunidade tradicional não obstaculiza o empreendimento, apenas oferece uma importante restrição, que, numa análise ético-jurídi</w:t>
      </w:r>
      <w:r w:rsidR="00DF3445">
        <w:rPr>
          <w:rFonts w:ascii="Times New Roman" w:eastAsia="Times New Roman" w:hAnsi="Times New Roman" w:cs="Times New Roman"/>
          <w:color w:val="000000"/>
          <w:sz w:val="24"/>
          <w:szCs w:val="24"/>
        </w:rPr>
        <w:t>ca deve ser respeitada. A Ré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, porém não se opõe às restrições. Sua boa-fé se demonstra</w:t>
      </w:r>
      <w:proofErr w:type="gramStart"/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sobretudo</w:t>
      </w:r>
      <w:proofErr w:type="gramEnd"/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através dos projetos autônomos que desenvolve na região, buscando mitigar os efeitos negativos de sua atividade tanto do ponto de vista social, como econômico e ambiental.</w:t>
      </w:r>
    </w:p>
    <w:p w:rsidR="00061047" w:rsidRDefault="00061047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047" w:rsidRDefault="00DF3445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</w:t>
      </w:r>
      <w:r w:rsidR="00061047"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ostra-se patente a regularidade do ato administrativo na sua face dúplice, tanto por parte do órgão público responsável quanto por parte da Ré.</w:t>
      </w:r>
    </w:p>
    <w:p w:rsidR="00DF3445" w:rsidRDefault="00DF3445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445" w:rsidRPr="00061047" w:rsidRDefault="00DF3445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todo o exposto, demonstrado o cumprimento integral de todas as exigências legais para a concessão da licença ambiental, os argumentos do Ministério Público não merecem acolhida, devendo a ação ser julgada improcedente, mantendo-se inalteradas as decisões administrativas e licenças ambientais por elas concedidas.</w:t>
      </w:r>
    </w:p>
    <w:p w:rsidR="00061047" w:rsidRP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107" w:rsidRDefault="00566107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107" w:rsidRDefault="00566107" w:rsidP="00566107">
      <w:pPr>
        <w:spacing w:after="0" w:line="360" w:lineRule="auto"/>
        <w:ind w:firstLine="22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Daniel Oliveira</w:t>
      </w:r>
    </w:p>
    <w:p w:rsidR="00566107" w:rsidRDefault="00566107" w:rsidP="00566107">
      <w:pPr>
        <w:spacing w:after="0" w:line="360" w:lineRule="auto"/>
        <w:ind w:firstLine="22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Larissa de Miranda Alem</w:t>
      </w:r>
    </w:p>
    <w:p w:rsidR="00566107" w:rsidRDefault="00566107" w:rsidP="00566107">
      <w:pPr>
        <w:spacing w:after="0" w:line="360" w:lineRule="auto"/>
        <w:ind w:firstLine="22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Juliana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Burjato</w:t>
      </w:r>
      <w:proofErr w:type="spellEnd"/>
    </w:p>
    <w:p w:rsidR="00566107" w:rsidRPr="00566107" w:rsidRDefault="00566107" w:rsidP="00566107">
      <w:pPr>
        <w:spacing w:after="0" w:line="360" w:lineRule="auto"/>
        <w:ind w:firstLine="2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Lucas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Yuan Sun</w:t>
      </w:r>
    </w:p>
    <w:sectPr w:rsidR="00566107" w:rsidRPr="00566107" w:rsidSect="00AA0F2E"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268"/>
  <w:hyphenationZone w:val="425"/>
  <w:drawingGridHorizontalSpacing w:val="110"/>
  <w:displayHorizontalDrawingGridEvery w:val="2"/>
  <w:characterSpacingControl w:val="doNotCompress"/>
  <w:compat>
    <w:useFELayout/>
  </w:compat>
  <w:rsids>
    <w:rsidRoot w:val="00061047"/>
    <w:rsid w:val="00061047"/>
    <w:rsid w:val="000870EA"/>
    <w:rsid w:val="00245874"/>
    <w:rsid w:val="00542CFC"/>
    <w:rsid w:val="00566107"/>
    <w:rsid w:val="005A12DE"/>
    <w:rsid w:val="005A188B"/>
    <w:rsid w:val="006B3CAA"/>
    <w:rsid w:val="008B6BBC"/>
    <w:rsid w:val="00AA0F2E"/>
    <w:rsid w:val="00DF3445"/>
    <w:rsid w:val="00FD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61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AE56A-E081-49AB-BAEE-E0CD8914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1471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Usuário do Windows</cp:lastModifiedBy>
  <cp:revision>4</cp:revision>
  <dcterms:created xsi:type="dcterms:W3CDTF">2015-10-04T13:08:00Z</dcterms:created>
  <dcterms:modified xsi:type="dcterms:W3CDTF">2015-10-04T22:38:00Z</dcterms:modified>
</cp:coreProperties>
</file>