
<file path=[Content_Types].xml><?xml version="1.0" encoding="utf-8"?>
<Types xmlns="http://schemas.openxmlformats.org/package/2006/content-types">
  <Default Extension="png" ContentType="image/png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87727" w:rsidRPr="00CF394E" w:rsidRDefault="00FB48F6" w:rsidP="00F6514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/>
          <w:color w:val="000000"/>
          <w:sz w:val="24"/>
        </w:rPr>
      </w:pPr>
      <w:r w:rsidRPr="00CF394E">
        <w:rPr>
          <w:sz w:val="24"/>
        </w:rPr>
        <w:fldChar w:fldCharType="begin"/>
      </w:r>
      <w:r w:rsidR="00514DF8" w:rsidRPr="00CF394E">
        <w:rPr>
          <w:sz w:val="24"/>
        </w:rPr>
        <w:instrText>ADVANCE \y 144</w:instrText>
      </w:r>
      <w:r w:rsidRPr="00CF394E">
        <w:rPr>
          <w:sz w:val="24"/>
        </w:rPr>
        <w:fldChar w:fldCharType="end"/>
      </w:r>
      <w:r w:rsidRPr="00CF394E">
        <w:rPr>
          <w:sz w:val="24"/>
        </w:rPr>
        <w:fldChar w:fldCharType="begin"/>
      </w:r>
      <w:r w:rsidR="00242B30" w:rsidRPr="00CF394E">
        <w:rPr>
          <w:sz w:val="24"/>
        </w:rPr>
        <w:instrText>ADVANCE \y 144</w:instrText>
      </w:r>
      <w:r w:rsidRPr="00CF394E">
        <w:rPr>
          <w:sz w:val="24"/>
        </w:rPr>
        <w:fldChar w:fldCharType="end"/>
      </w:r>
      <w:r w:rsidR="005E08A2">
        <w:rPr>
          <w:b/>
          <w:color w:val="000000"/>
          <w:sz w:val="24"/>
        </w:rPr>
        <w:t>Análise modal de reservatório elevado</w:t>
      </w:r>
    </w:p>
    <w:p w:rsidR="00387727" w:rsidRPr="00CF394E" w:rsidRDefault="00387727" w:rsidP="00F6514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/>
          <w:color w:val="000000"/>
          <w:sz w:val="24"/>
        </w:rPr>
      </w:pPr>
    </w:p>
    <w:p w:rsidR="00F65143" w:rsidRPr="00CF394E" w:rsidRDefault="005E08A2" w:rsidP="00F6514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color w:val="000000"/>
        </w:rPr>
      </w:pPr>
      <w:r>
        <w:rPr>
          <w:i/>
          <w:color w:val="000000"/>
        </w:rPr>
        <w:t>Breno Ayres Pereira Mendes</w:t>
      </w:r>
    </w:p>
    <w:p w:rsidR="00F65143" w:rsidRPr="00CF394E" w:rsidRDefault="005E08A2" w:rsidP="00F6514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i/>
          <w:color w:val="000000"/>
          <w:vertAlign w:val="superscript"/>
        </w:rPr>
      </w:pPr>
      <w:r>
        <w:rPr>
          <w:i/>
          <w:color w:val="000000"/>
        </w:rPr>
        <w:t>Carlos Eduardo Antunes de Oliveira Filho</w:t>
      </w:r>
    </w:p>
    <w:p w:rsidR="00F65143" w:rsidRPr="00CF394E" w:rsidRDefault="005E08A2" w:rsidP="00F6514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i/>
          <w:color w:val="000000"/>
          <w:vertAlign w:val="superscript"/>
        </w:rPr>
      </w:pPr>
      <w:r>
        <w:rPr>
          <w:i/>
          <w:color w:val="000000"/>
        </w:rPr>
        <w:t>Isabela Bombig Terreri</w:t>
      </w:r>
    </w:p>
    <w:p w:rsidR="00F65143" w:rsidRPr="00CF394E" w:rsidRDefault="00F65143" w:rsidP="00F6514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color w:val="0000FF"/>
          <w:sz w:val="24"/>
        </w:rPr>
      </w:pPr>
      <w:r w:rsidRPr="00CF394E">
        <w:rPr>
          <w:i/>
          <w:color w:val="000000"/>
        </w:rPr>
        <w:t xml:space="preserve"> </w:t>
      </w:r>
      <w:r w:rsidRPr="00CF394E">
        <w:rPr>
          <w:color w:val="000000"/>
        </w:rPr>
        <w:t xml:space="preserve">   </w:t>
      </w:r>
      <w:r w:rsidRPr="00CF394E">
        <w:rPr>
          <w:i/>
          <w:color w:val="000000"/>
        </w:rPr>
        <w:t xml:space="preserve"> </w:t>
      </w:r>
      <w:r w:rsidRPr="00CF394E">
        <w:rPr>
          <w:color w:val="000000"/>
        </w:rPr>
        <w:t xml:space="preserve">   </w:t>
      </w:r>
    </w:p>
    <w:p w:rsidR="00F65143" w:rsidRPr="00CF394E" w:rsidRDefault="00F65143" w:rsidP="00F6514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color w:val="0000FF"/>
        </w:rPr>
      </w:pPr>
    </w:p>
    <w:p w:rsidR="00F65143" w:rsidRPr="00CF394E" w:rsidRDefault="00387727" w:rsidP="00F65143">
      <w:pPr>
        <w:pStyle w:val="Captions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color w:val="0000FF"/>
          <w:lang w:val="pt-BR"/>
        </w:rPr>
      </w:pPr>
      <w:r w:rsidRPr="00CF394E">
        <w:rPr>
          <w:color w:val="000000"/>
          <w:lang w:val="pt-BR"/>
        </w:rPr>
        <w:t>Seminário da d</w:t>
      </w:r>
      <w:r w:rsidR="0018230C">
        <w:rPr>
          <w:color w:val="000000"/>
          <w:lang w:val="pt-BR"/>
        </w:rPr>
        <w:t>isciplina PEF 5916 – Dinâmica e E</w:t>
      </w:r>
      <w:r w:rsidRPr="00CF394E">
        <w:rPr>
          <w:color w:val="000000"/>
          <w:lang w:val="pt-BR"/>
        </w:rPr>
        <w:t xml:space="preserve">stabilidade das </w:t>
      </w:r>
      <w:r w:rsidR="0018230C">
        <w:rPr>
          <w:color w:val="000000"/>
          <w:lang w:val="pt-BR"/>
        </w:rPr>
        <w:t>E</w:t>
      </w:r>
      <w:r w:rsidRPr="00CF394E">
        <w:rPr>
          <w:color w:val="000000"/>
          <w:lang w:val="pt-BR"/>
        </w:rPr>
        <w:t>struturas</w:t>
      </w:r>
      <w:r w:rsidR="00F65143" w:rsidRPr="00CF394E">
        <w:rPr>
          <w:color w:val="000000"/>
          <w:lang w:val="pt-BR"/>
        </w:rPr>
        <w:t xml:space="preserve">     </w:t>
      </w:r>
    </w:p>
    <w:p w:rsidR="00514DF8" w:rsidRPr="00CF394E" w:rsidRDefault="00514D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</w:pPr>
    </w:p>
    <w:p w:rsidR="00514DF8" w:rsidRPr="00CF394E" w:rsidRDefault="00514D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514DF8" w:rsidRPr="00CF394E" w:rsidRDefault="00514D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sz w:val="24"/>
        </w:rPr>
        <w:sectPr w:rsidR="00514DF8" w:rsidRPr="00CF394E" w:rsidSect="001039D0">
          <w:footnotePr>
            <w:numRestart w:val="eachSect"/>
          </w:footnotePr>
          <w:endnotePr>
            <w:numFmt w:val="decimal"/>
          </w:endnotePr>
          <w:type w:val="continuous"/>
          <w:pgSz w:w="11906" w:h="16838" w:code="9"/>
          <w:pgMar w:top="734" w:right="677" w:bottom="1728" w:left="677" w:header="720" w:footer="576" w:gutter="0"/>
          <w:cols w:space="720"/>
          <w:noEndnote/>
          <w:docGrid w:linePitch="299"/>
        </w:sectPr>
      </w:pPr>
    </w:p>
    <w:p w:rsidR="00514DF8" w:rsidRPr="00CF394E" w:rsidRDefault="0038772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color w:val="0000FF"/>
        </w:rPr>
      </w:pPr>
      <w:r w:rsidRPr="001039D0">
        <w:rPr>
          <w:rStyle w:val="nfase"/>
        </w:rPr>
        <w:t>RESUMO</w:t>
      </w:r>
    </w:p>
    <w:p w:rsidR="00514DF8" w:rsidRPr="00CF394E" w:rsidRDefault="00514D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846C72" w:rsidRDefault="005E08A2" w:rsidP="001A5D1E">
      <w:r>
        <w:t>No trabalho a seguir, foi realizado um estudo de caso, na qual um reservatório de água elevado por um pilar de concreto recebe carregamentos dinâmicos devido ao vento</w:t>
      </w:r>
      <w:r w:rsidR="00846C72">
        <w:t xml:space="preserve">. </w:t>
      </w:r>
      <w:r>
        <w:t>O vento foi determinado pelo método do vento sintético, e uma planilha foi elaborada para calcular os esforços e solicitações relativos a esta estrutura.</w:t>
      </w:r>
    </w:p>
    <w:p w:rsidR="00514DF8" w:rsidRPr="00CF394E" w:rsidRDefault="00514D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514DF8" w:rsidRPr="001A5D1E" w:rsidRDefault="0038772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 w:rsidRPr="00CF394E">
        <w:t>PALAVRAS-CHAVE</w:t>
      </w:r>
      <w:r w:rsidR="00BC0FB6">
        <w:t>:</w:t>
      </w:r>
      <w:r w:rsidR="00EB33A2">
        <w:t xml:space="preserve"> </w:t>
      </w:r>
      <w:r w:rsidR="005E08A2">
        <w:t xml:space="preserve">dinâmica, </w:t>
      </w:r>
      <w:r w:rsidR="005E08A2" w:rsidRPr="001A5D1E">
        <w:t>análise modal</w:t>
      </w:r>
      <w:r w:rsidR="00EB33A2" w:rsidRPr="001A5D1E">
        <w:t xml:space="preserve">, </w:t>
      </w:r>
      <w:r w:rsidR="005E08A2" w:rsidRPr="001A5D1E">
        <w:t>vento sintético</w:t>
      </w:r>
      <w:r w:rsidR="00EB33A2" w:rsidRPr="001A5D1E">
        <w:t xml:space="preserve">, </w:t>
      </w:r>
      <w:r w:rsidR="005E08A2" w:rsidRPr="001A5D1E">
        <w:t>coeficiente de Rayleigh, rigidez equivalente</w:t>
      </w:r>
      <w:r w:rsidR="00EB33A2" w:rsidRPr="001A5D1E">
        <w:t>.</w:t>
      </w:r>
    </w:p>
    <w:p w:rsidR="00514DF8" w:rsidRPr="00CF394E" w:rsidRDefault="00514D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514DF8" w:rsidRPr="001039D0" w:rsidRDefault="0038772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Style w:val="nfase"/>
        </w:rPr>
      </w:pPr>
      <w:r w:rsidRPr="001039D0">
        <w:rPr>
          <w:rStyle w:val="nfase"/>
        </w:rPr>
        <w:t>INTRODUÇÃO</w:t>
      </w:r>
    </w:p>
    <w:p w:rsidR="00514DF8" w:rsidRPr="00CF394E" w:rsidRDefault="00514D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8F6335" w:rsidRDefault="00556D4A" w:rsidP="00C821BD">
      <w:r>
        <w:t>Na análise e dimensionamento de estruturas civis, torna-se cada vez mais relevante o estudo do comportamento desta</w:t>
      </w:r>
      <w:r w:rsidR="001039D0">
        <w:t>s</w:t>
      </w:r>
      <w:r>
        <w:t xml:space="preserve"> sob solicitações variáveis com o tempo, determinadas como ações dinâmicas. Entre estas ações, podem ser incluídas aquelas referentes a vibrações de componentes mecânicos, ventos, sismos, explosões e choques.</w:t>
      </w:r>
    </w:p>
    <w:p w:rsidR="00556D4A" w:rsidRDefault="00556D4A" w:rsidP="00C821BD"/>
    <w:p w:rsidR="00556D4A" w:rsidRDefault="00556D4A" w:rsidP="00556D4A">
      <w:r>
        <w:t>Neste trabalho, será analisado como uma estrutura se comporta sob vibrações estocásticas, e como será possível obter as solicitações na qual esta estrutura estará sujeita.</w:t>
      </w:r>
    </w:p>
    <w:p w:rsidR="00556D4A" w:rsidRDefault="00556D4A" w:rsidP="00556D4A"/>
    <w:p w:rsidR="00556D4A" w:rsidRDefault="00556D4A" w:rsidP="00556D4A">
      <w:r>
        <w:t>A excitação causada pelo vento foi obtida através do método de vento sintético, elaborado por Mário Franco, em seu trabalho</w:t>
      </w:r>
      <w:r w:rsidR="00C821BD">
        <w:t xml:space="preserve"> “Direct Along-wind Dynamic Analysis of Tall Structures”, de 1993. Este método apresenta carregamentos e excitações ocasionadas pelo vento, através da determinação de harmônicos que se correlacionam com o espectro de vento.</w:t>
      </w:r>
    </w:p>
    <w:p w:rsidR="00497B58" w:rsidRPr="00556D4A" w:rsidRDefault="00497B58" w:rsidP="00556D4A"/>
    <w:p w:rsidR="001039D0" w:rsidRDefault="001039D0" w:rsidP="0049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1039D0" w:rsidRDefault="001039D0" w:rsidP="0049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1039D0" w:rsidRDefault="001039D0" w:rsidP="0049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497B58" w:rsidRPr="001039D0" w:rsidRDefault="00497B58" w:rsidP="0049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Style w:val="nfase"/>
        </w:rPr>
      </w:pPr>
      <w:r w:rsidRPr="001039D0">
        <w:rPr>
          <w:rStyle w:val="nfase"/>
        </w:rPr>
        <w:t>MODELO E METODOLOGIA DE ANÁLISE</w:t>
      </w:r>
    </w:p>
    <w:p w:rsidR="00497B58" w:rsidRPr="00CF394E" w:rsidRDefault="00497B58" w:rsidP="0049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497B58" w:rsidRDefault="00497B58" w:rsidP="001A5D1E">
      <w:r>
        <w:t xml:space="preserve">Definiu-se o modelo de </w:t>
      </w:r>
      <w:r w:rsidRPr="00CF394E">
        <w:t xml:space="preserve">um </w:t>
      </w:r>
      <w:r>
        <w:t xml:space="preserve">elemento de barra na vertical discretizado em 13 nós, com 12 graus de liberdade, pois apenas o deslocamento em X foi </w:t>
      </w:r>
      <w:r w:rsidR="00334916">
        <w:t>considerado</w:t>
      </w:r>
      <w:r>
        <w:t>. As</w:t>
      </w:r>
      <w:r w:rsidRPr="00CF394E">
        <w:t xml:space="preserve"> matrizes de massa e rigidez</w:t>
      </w:r>
      <w:r>
        <w:t xml:space="preserve"> são simétricas. </w:t>
      </w:r>
    </w:p>
    <w:p w:rsidR="00497B58" w:rsidRDefault="00497B58" w:rsidP="001A5D1E">
      <w:r>
        <w:t xml:space="preserve">A base é engastada no solo, e </w:t>
      </w:r>
      <w:r w:rsidR="001A5D1E">
        <w:t>a massa do reservatório foi colocada na extremidade superior da barra.</w:t>
      </w:r>
    </w:p>
    <w:p w:rsidR="001A5D1E" w:rsidRDefault="00874505" w:rsidP="001A5D1E">
      <w:r>
        <w:t>A massa do</w:t>
      </w:r>
      <w:r w:rsidR="001A5D1E">
        <w:t xml:space="preserve"> reservatório </w:t>
      </w:r>
      <w:r>
        <w:t xml:space="preserve">é </w:t>
      </w:r>
      <w:r w:rsidR="001A5D1E">
        <w:t>30.000 kg e a área de sua face, necessária para a influência do vento sobre esta, mede 12m².</w:t>
      </w:r>
    </w:p>
    <w:p w:rsidR="002C5B0D" w:rsidRDefault="001A5D1E" w:rsidP="001A5D1E">
      <w:r>
        <w:t>A torre de sustentação</w:t>
      </w:r>
      <w:r w:rsidR="00D7115A">
        <w:t xml:space="preserve"> tem 40m de altura e será feita</w:t>
      </w:r>
      <w:r>
        <w:t xml:space="preserve"> de concreto armado, </w:t>
      </w:r>
      <w:r w:rsidR="00D7115A">
        <w:t>de fck de 20 Mpa, módulo de Young de 21,29 GPa e</w:t>
      </w:r>
      <w:r>
        <w:t xml:space="preserve"> densidade de 2.500 kg/m³, sua seção circular </w:t>
      </w:r>
      <w:r w:rsidR="007A6055">
        <w:t xml:space="preserve">vazada </w:t>
      </w:r>
      <w:r>
        <w:t>apresenta diâmetro externo de 2m e interno de 1m</w:t>
      </w:r>
      <w:r w:rsidR="00D7115A">
        <w:t>.</w:t>
      </w:r>
    </w:p>
    <w:p w:rsidR="002C5B0D" w:rsidRDefault="002C5B0D" w:rsidP="001A5D1E">
      <w:r>
        <w:rPr>
          <w:noProof/>
          <w:snapToGrid/>
          <w:lang w:eastAsia="pt-BR"/>
        </w:rPr>
        <w:drawing>
          <wp:inline distT="0" distB="0" distL="0" distR="0" wp14:anchorId="081DC816" wp14:editId="5D1624D0">
            <wp:extent cx="2714468" cy="3179233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7404" cy="31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5A" w:rsidRDefault="00D7115A" w:rsidP="001A5D1E">
      <w:r>
        <w:t>A taxa de amortecimento adotada para esta estrutura é de 2%</w:t>
      </w:r>
      <w:r w:rsidR="00334916">
        <w:t xml:space="preserve"> para os dois primeiros modos</w:t>
      </w:r>
      <w:r w:rsidR="00DE63B7">
        <w:t>.</w:t>
      </w:r>
    </w:p>
    <w:p w:rsidR="00A87F10" w:rsidRDefault="00A87F10" w:rsidP="001A5D1E"/>
    <w:p w:rsidR="00DE63B7" w:rsidRDefault="00A87F10" w:rsidP="001A5D1E">
      <w:r>
        <w:t xml:space="preserve">Para a resolução de sistemas dinâmicos, deve-se calcular as frequências naturais da estrutura. </w:t>
      </w:r>
      <w:r w:rsidR="00BC595B">
        <w:t>A princípio, considera-se a estrutura sob vibrações livres não amortecidas</w:t>
      </w:r>
      <w:r>
        <w:t xml:space="preserve">, </w:t>
      </w:r>
      <w:r w:rsidR="00BC595B">
        <w:t>sendo empregada a equação (1).</w:t>
      </w:r>
    </w:p>
    <w:p w:rsidR="00BC595B" w:rsidRDefault="00BC595B" w:rsidP="001A5D1E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BC595B" w:rsidRPr="00CF394E" w:rsidTr="00806A4F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BC595B" w:rsidRPr="00CF394E" w:rsidRDefault="004B4007" w:rsidP="00063CAE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K</m:t>
                    </m:r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u</m:t>
                    </m:r>
                  </m:e>
                </m:d>
                <m:r>
                  <w:rPr>
                    <w:rFonts w:ascii="Cambria Math" w:hAnsi="Cambria Math"/>
                    <w:szCs w:val="18"/>
                  </w:rPr>
                  <m:t>+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M</m:t>
                    </m:r>
                  </m:e>
                </m:d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acc>
                      <m:accPr>
                        <m:chr m:val="̈"/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u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={0}</m:t>
                </m:r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BC595B" w:rsidRPr="00CF394E" w:rsidRDefault="00BC595B" w:rsidP="008877F5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 w:rsidR="008877F5">
              <w:rPr>
                <w:szCs w:val="18"/>
              </w:rPr>
              <w:fldChar w:fldCharType="begin"/>
            </w:r>
            <w:r w:rsidR="008877F5">
              <w:rPr>
                <w:szCs w:val="18"/>
              </w:rPr>
              <w:instrText xml:space="preserve"> SEQ equação \* MERGEFORMAT </w:instrText>
            </w:r>
            <w:r w:rsidR="008877F5">
              <w:rPr>
                <w:szCs w:val="18"/>
              </w:rPr>
              <w:fldChar w:fldCharType="separate"/>
            </w:r>
            <w:r w:rsidR="008877F5">
              <w:rPr>
                <w:noProof/>
                <w:szCs w:val="18"/>
              </w:rPr>
              <w:t>1</w:t>
            </w:r>
            <w:r w:rsidR="008877F5"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BC595B" w:rsidRDefault="00BC595B" w:rsidP="001A5D1E"/>
    <w:p w:rsidR="00063CAE" w:rsidRDefault="00BC595B" w:rsidP="001A5D1E">
      <w:r>
        <w:t xml:space="preserve">É possível </w:t>
      </w:r>
      <w:r w:rsidR="00063CAE">
        <w:t>redefinir</w:t>
      </w:r>
      <w:r w:rsidR="00431AF6">
        <w:t xml:space="preserve"> {u}</w:t>
      </w:r>
      <w:r w:rsidR="00063CAE">
        <w:t xml:space="preserve"> e {ü}</w:t>
      </w:r>
      <w:r w:rsidR="00431AF6">
        <w:t xml:space="preserve"> p</w:t>
      </w:r>
      <w:r w:rsidR="00063CAE">
        <w:t>ela sua solução geral</w:t>
      </w:r>
    </w:p>
    <w:p w:rsidR="00063CAE" w:rsidRDefault="00063CAE" w:rsidP="001A5D1E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063CAE" w:rsidRPr="00CF394E" w:rsidTr="00806A4F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063CAE" w:rsidRPr="00CF394E" w:rsidRDefault="004B4007" w:rsidP="00063CAE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u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={</m:t>
                </m:r>
                <m:sSub>
                  <m:sSubPr>
                    <m:ctrlPr>
                      <w:rPr>
                        <w:rFonts w:ascii="Cambria Math" w:hAnsi="Cambria Math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}cos⁡(ωt-θ)</m:t>
                </m:r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063CAE" w:rsidRPr="00CF394E" w:rsidRDefault="008877F5" w:rsidP="00806A4F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2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063CAE" w:rsidRDefault="00063CAE" w:rsidP="001A5D1E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063CAE" w:rsidRPr="00CF394E" w:rsidTr="00806A4F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063CAE" w:rsidRPr="00CF394E" w:rsidRDefault="004B4007" w:rsidP="00C64D82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18"/>
                      </w:rPr>
                      <m:t>ü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szCs w:val="1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{</m:t>
                </m:r>
                <m:sSub>
                  <m:sSubPr>
                    <m:ctrlPr>
                      <w:rPr>
                        <w:rFonts w:ascii="Cambria Math" w:hAnsi="Cambria Math"/>
                        <w:szCs w:val="18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accPr>
                      <m:e>
                        <m:acc>
                          <m:accPr>
                            <m:chr m:val="̈"/>
                            <m:ctrlPr>
                              <w:rPr>
                                <w:rFonts w:ascii="Cambria Math" w:hAnsi="Cambria Math"/>
                                <w:szCs w:val="1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</w:rPr>
                              <m:t>u</m:t>
                            </m:r>
                          </m:e>
                        </m:acc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}cos⁡(ωt-θ)</m:t>
                </m:r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063CAE" w:rsidRPr="00CF394E" w:rsidRDefault="008877F5" w:rsidP="00806A4F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3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BC595B" w:rsidRDefault="00063CAE" w:rsidP="001A5D1E">
      <w:r>
        <w:t xml:space="preserve"> </w:t>
      </w:r>
    </w:p>
    <w:p w:rsidR="00BC595B" w:rsidRDefault="00063CAE" w:rsidP="001A5D1E">
      <w:r>
        <w:t>Com (2) e (3) em (1), simplificando:</w:t>
      </w:r>
    </w:p>
    <w:p w:rsidR="00063CAE" w:rsidRDefault="00063CAE" w:rsidP="001A5D1E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063CAE" w:rsidRPr="00CF394E" w:rsidTr="00806A4F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063CAE" w:rsidRPr="00CF394E" w:rsidRDefault="00063CAE" w:rsidP="00C64D82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Cs w:val="18"/>
                  </w:rPr>
                  <m:t>(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szCs w:val="1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18"/>
                      </w:rPr>
                      <m:t>ω</m:t>
                    </m:r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M</m:t>
                    </m:r>
                  </m:e>
                </m:d>
                <m:r>
                  <w:rPr>
                    <w:rFonts w:ascii="Cambria Math" w:hAnsi="Cambria Math"/>
                    <w:szCs w:val="18"/>
                  </w:rPr>
                  <m:t>)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u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={0}</m:t>
                </m:r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063CAE" w:rsidRPr="00CF394E" w:rsidRDefault="008877F5" w:rsidP="00806A4F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4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063CAE" w:rsidRDefault="00063CAE" w:rsidP="001A5D1E"/>
    <w:p w:rsidR="00063CAE" w:rsidRDefault="00C64D82" w:rsidP="001A5D1E">
      <w:pPr>
        <w:rPr>
          <w:szCs w:val="18"/>
        </w:rPr>
      </w:pPr>
      <w:r>
        <w:t xml:space="preserve">Como {û}=0 caracteriza uma </w:t>
      </w:r>
      <w:r w:rsidR="00334916">
        <w:t>solução trivial, então o determinante do termo</w:t>
      </w:r>
      <w:r>
        <w:t xml:space="preserve"> </w:t>
      </w:r>
      <m:oMath>
        <m:r>
          <w:rPr>
            <w:rFonts w:ascii="Cambria Math" w:hAnsi="Cambria Math"/>
            <w:szCs w:val="18"/>
          </w:rPr>
          <m:t>(</m:t>
        </m:r>
        <m:d>
          <m:dPr>
            <m:begChr m:val="["/>
            <m:endChr m:val="]"/>
            <m:ctrlPr>
              <w:rPr>
                <w:rFonts w:ascii="Cambria Math" w:hAnsi="Cambria Math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18"/>
              </w:rPr>
              <m:t>K</m:t>
            </m:r>
          </m:e>
        </m:d>
        <m:r>
          <w:rPr>
            <w:rFonts w:ascii="Cambria Math" w:hAnsi="Cambria Math"/>
            <w:szCs w:val="18"/>
          </w:rPr>
          <m:t>-</m:t>
        </m:r>
        <m:sSup>
          <m:sSupPr>
            <m:ctrlPr>
              <w:rPr>
                <w:rFonts w:ascii="Cambria Math" w:hAnsi="Cambria Math"/>
                <w:i/>
                <w:szCs w:val="18"/>
              </w:rPr>
            </m:ctrlPr>
          </m:sSupPr>
          <m:e>
            <m:r>
              <w:rPr>
                <w:rFonts w:ascii="Cambria Math" w:hAnsi="Cambria Math"/>
                <w:szCs w:val="18"/>
              </w:rPr>
              <m:t>ω</m:t>
            </m:r>
          </m:e>
          <m:sup>
            <m:r>
              <w:rPr>
                <w:rFonts w:ascii="Cambria Math" w:hAnsi="Cambria Math"/>
                <w:szCs w:val="18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18"/>
              </w:rPr>
              <m:t>M</m:t>
            </m:r>
          </m:e>
        </m:d>
        <m:r>
          <w:rPr>
            <w:rFonts w:ascii="Cambria Math" w:hAnsi="Cambria Math"/>
            <w:szCs w:val="18"/>
          </w:rPr>
          <m:t>)</m:t>
        </m:r>
      </m:oMath>
      <w:r>
        <w:rPr>
          <w:szCs w:val="18"/>
        </w:rPr>
        <w:t xml:space="preserve"> deve ser igual a zero. Substituindo </w:t>
      </w:r>
      <w:r>
        <w:rPr>
          <w:rFonts w:ascii="Calibri" w:hAnsi="Calibri"/>
          <w:szCs w:val="18"/>
        </w:rPr>
        <w:t>ω</w:t>
      </w:r>
      <w:r>
        <w:rPr>
          <w:szCs w:val="18"/>
        </w:rPr>
        <w:t xml:space="preserve">² por </w:t>
      </w:r>
      <w:r>
        <w:rPr>
          <w:rFonts w:ascii="Calibri" w:hAnsi="Calibri"/>
          <w:szCs w:val="18"/>
        </w:rPr>
        <w:t>λ</w:t>
      </w:r>
      <w:r w:rsidR="00334916">
        <w:rPr>
          <w:szCs w:val="18"/>
        </w:rPr>
        <w:t>,</w:t>
      </w:r>
      <w:r>
        <w:rPr>
          <w:szCs w:val="18"/>
        </w:rPr>
        <w:t xml:space="preserve"> multiplicando </w:t>
      </w:r>
      <w:r w:rsidR="00334916">
        <w:rPr>
          <w:szCs w:val="18"/>
        </w:rPr>
        <w:t>as parcelas</w:t>
      </w:r>
      <w:r>
        <w:rPr>
          <w:szCs w:val="18"/>
        </w:rPr>
        <w:t xml:space="preserve"> pela inversa de [M],</w:t>
      </w:r>
      <w:r w:rsidR="00334916" w:rsidRPr="00334916">
        <w:rPr>
          <w:szCs w:val="18"/>
        </w:rPr>
        <w:t xml:space="preserve"> </w:t>
      </w:r>
      <w:r w:rsidR="00334916">
        <w:rPr>
          <w:szCs w:val="18"/>
        </w:rPr>
        <w:t xml:space="preserve">e sendo </w:t>
      </w:r>
      <m:oMath>
        <m:r>
          <w:rPr>
            <w:rFonts w:ascii="Cambria Math" w:hAnsi="Cambria Math"/>
            <w:szCs w:val="18"/>
          </w:rPr>
          <m:t>A=</m:t>
        </m:r>
        <m:sSup>
          <m:sSupPr>
            <m:ctrlPr>
              <w:rPr>
                <w:rFonts w:ascii="Cambria Math" w:hAnsi="Cambria Math"/>
                <w:i/>
                <w:szCs w:val="18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18"/>
                  </w:rPr>
                </m:ctrlPr>
              </m:dPr>
              <m:e>
                <m:r>
                  <w:rPr>
                    <w:rFonts w:ascii="Cambria Math" w:hAnsi="Cambria Math"/>
                    <w:szCs w:val="18"/>
                  </w:rPr>
                  <m:t>M</m:t>
                </m:r>
              </m:e>
            </m:d>
          </m:e>
          <m:sup>
            <m:r>
              <w:rPr>
                <w:rFonts w:ascii="Cambria Math" w:hAnsi="Cambria Math"/>
                <w:szCs w:val="18"/>
              </w:rPr>
              <m:t>-1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Cs w:val="18"/>
              </w:rPr>
            </m:ctrlPr>
          </m:dPr>
          <m:e>
            <m:r>
              <w:rPr>
                <w:rFonts w:ascii="Cambria Math" w:hAnsi="Cambria Math"/>
                <w:szCs w:val="18"/>
              </w:rPr>
              <m:t>K</m:t>
            </m:r>
          </m:e>
        </m:d>
      </m:oMath>
      <w:r w:rsidR="00334916">
        <w:rPr>
          <w:szCs w:val="18"/>
        </w:rPr>
        <w:t>,</w:t>
      </w:r>
      <w:r>
        <w:rPr>
          <w:szCs w:val="18"/>
        </w:rPr>
        <w:t xml:space="preserve"> pode-se visualizar o clássico problema de autovalores.</w:t>
      </w:r>
    </w:p>
    <w:tbl>
      <w:tblPr>
        <w:tblStyle w:val="Tabelacomgrade"/>
        <w:tblpPr w:leftFromText="141" w:rightFromText="141" w:vertAnchor="text" w:horzAnchor="margin" w:tblpY="184"/>
        <w:tblW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334916" w:rsidRPr="00CF394E" w:rsidTr="00334916">
        <w:tc>
          <w:tcPr>
            <w:tcW w:w="4644" w:type="dxa"/>
            <w:shd w:val="clear" w:color="auto" w:fill="auto"/>
            <w:vAlign w:val="center"/>
          </w:tcPr>
          <w:p w:rsidR="00334916" w:rsidRPr="00334916" w:rsidRDefault="00334916" w:rsidP="0033491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</w:p>
          <w:p w:rsidR="00334916" w:rsidRPr="00334916" w:rsidRDefault="004B4007" w:rsidP="0033491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det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M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-1</m:t>
                            </m:r>
                          </m:sup>
                        </m:s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K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Cs w:val="18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ω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M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-1</m:t>
                            </m:r>
                          </m:sup>
                        </m:s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M</m:t>
                            </m:r>
                          </m:e>
                        </m:d>
                      </m:e>
                    </m:d>
                  </m:e>
                </m:func>
                <m:r>
                  <w:rPr>
                    <w:rFonts w:ascii="Cambria Math" w:hAnsi="Cambria Math"/>
                    <w:szCs w:val="18"/>
                  </w:rPr>
                  <m:t>=0</m:t>
                </m:r>
              </m:oMath>
            </m:oMathPara>
          </w:p>
          <w:p w:rsidR="00334916" w:rsidRDefault="00334916" w:rsidP="0033491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</w:p>
          <w:p w:rsidR="00334916" w:rsidRPr="00CF394E" w:rsidRDefault="004B4007" w:rsidP="0033491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A-λI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=0</m:t>
                </m:r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334916" w:rsidRDefault="00334916" w:rsidP="0033491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</w:p>
          <w:p w:rsidR="00334916" w:rsidRDefault="00334916" w:rsidP="0033491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</w:p>
          <w:p w:rsidR="00334916" w:rsidRDefault="00334916" w:rsidP="0033491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</w:p>
          <w:p w:rsidR="00334916" w:rsidRPr="00CF394E" w:rsidRDefault="00334916" w:rsidP="0033491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5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8877F5" w:rsidRDefault="008877F5" w:rsidP="001A5D1E">
      <w:pPr>
        <w:rPr>
          <w:szCs w:val="18"/>
        </w:rPr>
      </w:pPr>
    </w:p>
    <w:p w:rsidR="00636560" w:rsidRDefault="00636560" w:rsidP="001A5D1E">
      <w:pPr>
        <w:rPr>
          <w:szCs w:val="18"/>
        </w:rPr>
      </w:pPr>
      <w:r>
        <w:rPr>
          <w:szCs w:val="18"/>
        </w:rPr>
        <w:t>Resolvendo</w:t>
      </w:r>
      <w:r w:rsidR="003A5867">
        <w:rPr>
          <w:szCs w:val="18"/>
        </w:rPr>
        <w:t>-se</w:t>
      </w:r>
      <w:r>
        <w:rPr>
          <w:szCs w:val="18"/>
        </w:rPr>
        <w:t xml:space="preserve"> os autovalores e autovetores, </w:t>
      </w:r>
      <w:r w:rsidR="00CE7D32">
        <w:rPr>
          <w:szCs w:val="18"/>
        </w:rPr>
        <w:t>estes são respectivamente as frequências ao quadrado e os vetores que representam os modais.</w:t>
      </w:r>
    </w:p>
    <w:p w:rsidR="007A6055" w:rsidRDefault="007A6055" w:rsidP="001A5D1E">
      <w:pPr>
        <w:rPr>
          <w:szCs w:val="18"/>
        </w:rPr>
      </w:pPr>
    </w:p>
    <w:p w:rsidR="008353B2" w:rsidRPr="007A6055" w:rsidRDefault="007A6055" w:rsidP="001A5D1E">
      <w:r>
        <w:t>Na etapa seguinte, as matrizes [K], [M] e [C] são diagonalizadas, e a variável u é substituída por Yϕ.</w:t>
      </w:r>
    </w:p>
    <w:p w:rsidR="00DE63B7" w:rsidRDefault="00DE63B7" w:rsidP="001A5D1E">
      <w:r>
        <w:t xml:space="preserve">Após a </w:t>
      </w:r>
      <w:r w:rsidR="00E160AC">
        <w:t>definição</w:t>
      </w:r>
      <w:r>
        <w:t xml:space="preserve"> das matrizes de rigidez</w:t>
      </w:r>
      <w:r w:rsidR="00E160AC">
        <w:t xml:space="preserve"> [K]</w:t>
      </w:r>
      <w:r w:rsidR="007A6055">
        <w:t>*</w:t>
      </w:r>
      <w:r>
        <w:t xml:space="preserve"> e massa </w:t>
      </w:r>
      <w:r w:rsidR="00E160AC">
        <w:t>[M]</w:t>
      </w:r>
      <w:r w:rsidR="007A6055">
        <w:t>*</w:t>
      </w:r>
      <w:r w:rsidR="00E160AC">
        <w:t xml:space="preserve"> </w:t>
      </w:r>
      <w:r>
        <w:t>da estrutura,</w:t>
      </w:r>
      <w:r w:rsidR="008353B2">
        <w:t xml:space="preserve"> e as frequências naturais,</w:t>
      </w:r>
      <w:r>
        <w:t xml:space="preserve"> </w:t>
      </w:r>
      <w:r w:rsidR="00E160AC">
        <w:t>é possível determinar sua matriz de amortecimento [C]</w:t>
      </w:r>
      <w:r w:rsidR="007A6055">
        <w:t>*</w:t>
      </w:r>
      <w:r w:rsidR="00E160AC">
        <w:t>. A solução mais prática para este tipo de problema trata da definição dos coeficientes de Rayleigh, que levam em conta os parâmetros físicos e geométricos da estrutura, massa e rigidez.</w:t>
      </w:r>
    </w:p>
    <w:p w:rsidR="008353B2" w:rsidRDefault="008353B2" w:rsidP="001A5D1E">
      <w:r>
        <w:t>Foram escolhidas as duas me</w:t>
      </w:r>
      <w:r w:rsidR="003A5867">
        <w:t xml:space="preserve">nores frequências da estrutura e imposto que suas respectivas taxas de amortecimento </w:t>
      </w:r>
      <w:r w:rsidR="003A5867">
        <w:rPr>
          <w:rFonts w:ascii="Calibri" w:hAnsi="Calibri"/>
        </w:rPr>
        <w:t>ξ</w:t>
      </w:r>
      <w:r w:rsidR="003A5867">
        <w:t xml:space="preserve"> sejam de 2%</w:t>
      </w:r>
    </w:p>
    <w:p w:rsidR="003A5867" w:rsidRDefault="003A5867" w:rsidP="001A5D1E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3A5867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3A5867" w:rsidRPr="00CF394E" w:rsidRDefault="004B4007" w:rsidP="003A5867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1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18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18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1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Cs w:val="18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Cs w:val="18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Cs w:val="18"/>
                  </w:rPr>
                  <m:t xml:space="preserve"> 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0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Cs w:val="18"/>
                  </w:rPr>
                  <m:t>=2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18"/>
                                </w:rPr>
                                <m:t>2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3A5867" w:rsidRPr="00CF394E" w:rsidRDefault="003A5867" w:rsidP="008877F5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6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3A5867" w:rsidRDefault="003A5867" w:rsidP="001A5D1E"/>
    <w:p w:rsidR="00A87F10" w:rsidRDefault="003A5867" w:rsidP="001A5D1E">
      <w:r>
        <w:t xml:space="preserve">Com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Cs w:val="1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8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1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18"/>
                        </w:rPr>
                        <m:t>0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1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18"/>
                        </w:rPr>
                        <m:t>1</m:t>
                      </m:r>
                    </m:sub>
                  </m:sSub>
                </m:e>
              </m:mr>
            </m:m>
          </m:e>
        </m:d>
      </m:oMath>
      <w:r>
        <w:t xml:space="preserve"> definidos em (6), vem:</w:t>
      </w:r>
    </w:p>
    <w:p w:rsidR="003A5867" w:rsidRDefault="003A5867" w:rsidP="001A5D1E"/>
    <w:tbl>
      <w:tblPr>
        <w:tblStyle w:val="Tabelacomgrade"/>
        <w:tblW w:w="539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714"/>
      </w:tblGrid>
      <w:tr w:rsidR="003A5867" w:rsidRPr="00CF394E" w:rsidTr="007A6055">
        <w:trPr>
          <w:trHeight w:val="371"/>
          <w:jc w:val="center"/>
        </w:trPr>
        <w:tc>
          <w:tcPr>
            <w:tcW w:w="4679" w:type="dxa"/>
            <w:shd w:val="clear" w:color="auto" w:fill="auto"/>
            <w:vAlign w:val="center"/>
          </w:tcPr>
          <w:p w:rsidR="003A5867" w:rsidRPr="00CF394E" w:rsidRDefault="004B4007" w:rsidP="003A5867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C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M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K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714" w:type="dxa"/>
            <w:shd w:val="clear" w:color="auto" w:fill="auto"/>
            <w:vAlign w:val="center"/>
          </w:tcPr>
          <w:p w:rsidR="003A5867" w:rsidRPr="00CF394E" w:rsidRDefault="003A5867" w:rsidP="008877F5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7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3A5867" w:rsidRDefault="003A5867" w:rsidP="001A5D1E"/>
    <w:p w:rsidR="008931A8" w:rsidRDefault="008931A8" w:rsidP="001A5D1E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092CDB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092CDB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M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*</m:t>
                    </m:r>
                  </m:sup>
                </m:sSup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18"/>
                      </w:rPr>
                      <m:t>Y</m:t>
                    </m:r>
                  </m:e>
                </m:acc>
                <m:r>
                  <w:rPr>
                    <w:rFonts w:ascii="Cambria Math" w:hAnsi="Cambria Math"/>
                    <w:szCs w:val="1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C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*</m:t>
                    </m:r>
                  </m:sup>
                </m:sSup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18"/>
                      </w:rPr>
                      <m:t>Y</m:t>
                    </m:r>
                  </m:e>
                </m:acc>
                <m:r>
                  <w:rPr>
                    <w:rFonts w:ascii="Cambria Math" w:hAnsi="Cambria Math"/>
                    <w:szCs w:val="1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K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*</m:t>
                    </m:r>
                  </m:sup>
                </m:sSup>
                <m:r>
                  <w:rPr>
                    <w:rFonts w:ascii="Cambria Math" w:hAnsi="Cambria Math"/>
                    <w:szCs w:val="18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18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092CDB" w:rsidRPr="00CF394E" w:rsidRDefault="00092CDB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 w:rsidR="00E86E1F">
              <w:rPr>
                <w:noProof/>
                <w:szCs w:val="18"/>
              </w:rPr>
              <w:t>8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8931A8" w:rsidRDefault="008931A8" w:rsidP="001A5D1E"/>
    <w:p w:rsidR="004B4837" w:rsidRDefault="005310DA" w:rsidP="001A5D1E">
      <w:r>
        <w:t xml:space="preserve">Para se determinar [R] e [R]*, </w:t>
      </w:r>
      <w:r w:rsidR="004B4837">
        <w:t xml:space="preserve">que são os </w:t>
      </w:r>
      <w:r w:rsidR="00B0311C">
        <w:t>harmônicos</w:t>
      </w:r>
      <w:r w:rsidR="004B4837">
        <w:t xml:space="preserve"> atuantes sobre a estrutura, será utiliz</w:t>
      </w:r>
      <w:r w:rsidR="007A6055">
        <w:t>ado o método do vento sintético, utilizando o espectro de frequência do vento.</w:t>
      </w:r>
    </w:p>
    <w:p w:rsidR="004B4837" w:rsidRDefault="004B4837" w:rsidP="001A5D1E">
      <w:r>
        <w:t>Para o carregamento, o vento será determinado em conformidade com a NBR 6123-1988, com os seguintes parâmetros: V</w:t>
      </w:r>
      <w:r>
        <w:rPr>
          <w:vertAlign w:val="subscript"/>
        </w:rPr>
        <w:t>0</w:t>
      </w:r>
      <w:r>
        <w:t xml:space="preserve"> = 40m/s, fator S</w:t>
      </w:r>
      <w:r>
        <w:rPr>
          <w:vertAlign w:val="subscript"/>
        </w:rPr>
        <w:t>1</w:t>
      </w:r>
      <w:r>
        <w:t xml:space="preserve">=1, fator </w:t>
      </w:r>
      <w:r w:rsidRPr="004B4837">
        <w:t>S</w:t>
      </w:r>
      <w:r>
        <w:rPr>
          <w:vertAlign w:val="subscript"/>
        </w:rPr>
        <w:t>3</w:t>
      </w:r>
      <w:r>
        <w:t xml:space="preserve">=1, coeficiente de arrasto CA=1,2 </w:t>
      </w:r>
      <w:r w:rsidR="0049580B">
        <w:t>e</w:t>
      </w:r>
      <w:r>
        <w:t xml:space="preserve"> </w:t>
      </w:r>
      <w:r w:rsidRPr="004B4837">
        <w:t>fator</w:t>
      </w:r>
      <w:r>
        <w:t xml:space="preserve"> S</w:t>
      </w:r>
      <w:r>
        <w:rPr>
          <w:vertAlign w:val="subscript"/>
        </w:rPr>
        <w:t>2</w:t>
      </w:r>
      <w:r>
        <w:t xml:space="preserve"> com categoria IV, para os ventos de pico (3 segundos) e estático (600 segundos). </w:t>
      </w:r>
    </w:p>
    <w:p w:rsidR="00592965" w:rsidRDefault="00592965" w:rsidP="001A5D1E">
      <w:pPr>
        <w:rPr>
          <w:noProof/>
          <w:snapToGrid/>
          <w:lang w:eastAsia="pt-BR"/>
        </w:rPr>
      </w:pPr>
    </w:p>
    <w:p w:rsidR="001039D0" w:rsidRDefault="001039D0" w:rsidP="001A5D1E">
      <w:r>
        <w:rPr>
          <w:noProof/>
          <w:snapToGrid/>
          <w:lang w:eastAsia="pt-BR"/>
        </w:rPr>
        <w:drawing>
          <wp:inline distT="0" distB="0" distL="0" distR="0" wp14:anchorId="60D5E26A" wp14:editId="1108A171">
            <wp:extent cx="3185795" cy="21799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80B" w:rsidRDefault="0049580B" w:rsidP="001A5D1E"/>
    <w:p w:rsidR="00686966" w:rsidRDefault="00B10075" w:rsidP="001A5D1E">
      <w:r>
        <w:object w:dxaOrig="13187" w:dyaOrig="88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35pt;height:159.35pt" o:ole="">
            <v:imagedata r:id="rId10" o:title=""/>
          </v:shape>
          <o:OLEObject Type="Embed" ProgID="Excel.SheetMacroEnabled.12" ShapeID="_x0000_i1025" DrawAspect="Content" ObjectID="_1556385266" r:id="rId11"/>
        </w:object>
      </w:r>
    </w:p>
    <w:p w:rsidR="00686966" w:rsidRDefault="00686966" w:rsidP="001A5D1E"/>
    <w:p w:rsidR="00F009A5" w:rsidRPr="001039D0" w:rsidRDefault="00F009A5" w:rsidP="00F009A5">
      <w:pPr>
        <w:keepNext/>
        <w:keepLine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Style w:val="nfase"/>
        </w:rPr>
      </w:pPr>
      <w:r w:rsidRPr="001039D0">
        <w:rPr>
          <w:rStyle w:val="nfase"/>
        </w:rPr>
        <w:t>RESULTADOS E DISCUSSÕES</w:t>
      </w:r>
    </w:p>
    <w:p w:rsidR="00F009A5" w:rsidRDefault="00F009A5" w:rsidP="00F009A5"/>
    <w:p w:rsidR="00066D67" w:rsidRPr="001039D0" w:rsidRDefault="002648A6" w:rsidP="001039D0">
      <w:r>
        <w:t xml:space="preserve">Após a realização do procedimento para a obtenção das excitações causadas pelo vento a partir do método do vento sintético, foi obtido um carregamento quase estático, que atuará frequentemente sobre a estrutura, e uma pressão flutuante, que é a diferença entre o carregamento estático e o de rajada. O momento </w:t>
      </w:r>
      <w:r w:rsidR="0051433E">
        <w:t xml:space="preserve">que atua sobre a estrutura é a soma do </w:t>
      </w:r>
      <w:r w:rsidR="00F009A5">
        <w:t>momento estático com o flutuante.</w:t>
      </w:r>
      <w:r w:rsidR="001039D0">
        <w:t xml:space="preserve"> Na parcela flutuante estará considerada a ampliação dinâmica.</w:t>
      </w:r>
    </w:p>
    <w:p w:rsidR="00F009A5" w:rsidRDefault="001039D0" w:rsidP="00F009A5">
      <w:r>
        <w:t>Para o</w:t>
      </w:r>
      <w:r w:rsidR="000A50B7">
        <w:t xml:space="preserve">s </w:t>
      </w:r>
      <w:r>
        <w:t>3 primeiros</w:t>
      </w:r>
      <w:r w:rsidR="00F009A5">
        <w:t xml:space="preserve"> </w:t>
      </w:r>
      <w:r>
        <w:t xml:space="preserve">modos </w:t>
      </w:r>
      <w:r w:rsidR="00F009A5">
        <w:t>da estrutura</w:t>
      </w:r>
      <w:r w:rsidR="006C2CB5">
        <w:t xml:space="preserve"> e os 11 harmônicos</w:t>
      </w:r>
      <w:r w:rsidR="00F009A5">
        <w:t>, foram extraídos os respectivos</w:t>
      </w:r>
      <w:r w:rsidR="004936A3">
        <w:t xml:space="preserve"> dados:</w:t>
      </w:r>
      <w:r w:rsidR="00F009A5">
        <w:t xml:space="preserve"> </w:t>
      </w:r>
      <w:r w:rsidR="004936A3">
        <w:t xml:space="preserve">taxa de amortecimento </w:t>
      </w:r>
      <w:r w:rsidR="00F009A5">
        <w:t>ξ</w:t>
      </w:r>
      <w:r w:rsidR="004936A3">
        <w:t xml:space="preserve">, frequência de excitação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ω</m:t>
            </m:r>
          </m:e>
        </m:acc>
      </m:oMath>
      <w:r w:rsidR="004936A3">
        <w:t xml:space="preserve">, a </w:t>
      </w:r>
      <w:r w:rsidR="004936A3">
        <w:lastRenderedPageBreak/>
        <w:t>relação β entre a frequência de excitação e a freq</w:t>
      </w:r>
      <w:r w:rsidR="00B0311C">
        <w:t>uência natural não amortecida,</w:t>
      </w:r>
      <w:r w:rsidR="004936A3">
        <w:t xml:space="preserve"> </w:t>
      </w:r>
      <w:r w:rsidR="005217D4">
        <w:t xml:space="preserve">e </w:t>
      </w:r>
      <w:r w:rsidR="004936A3">
        <w:t xml:space="preserve">o coeficiente de amplificação dinâmica D. </w:t>
      </w:r>
      <w:r w:rsidR="00FC1F36">
        <w:t>Suas equações apresentam-se a seguir.</w:t>
      </w:r>
    </w:p>
    <w:p w:rsidR="00FC1F36" w:rsidRDefault="00FC1F36" w:rsidP="00F009A5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FC1F36" w:rsidRPr="00CF394E" w:rsidTr="00FC1F36">
        <w:trPr>
          <w:trHeight w:val="452"/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FC1F36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18"/>
                          </w:rPr>
                          <m:t>*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Cs w:val="18"/>
                      </w:rPr>
                      <m:t>2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18"/>
                          </w:rPr>
                          <m:t>*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FC1F36" w:rsidRPr="00CF394E" w:rsidRDefault="00FC1F36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 w:rsidR="00B0311C">
              <w:rPr>
                <w:noProof/>
                <w:szCs w:val="18"/>
              </w:rPr>
              <w:t>9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FC1F36" w:rsidRDefault="00FC1F36" w:rsidP="00F009A5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FC1F36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FC1F36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ω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=2π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FC1F36" w:rsidRPr="00CF394E" w:rsidRDefault="00FC1F36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 w:rsidR="00B0311C">
              <w:rPr>
                <w:noProof/>
                <w:szCs w:val="18"/>
              </w:rPr>
              <w:t>10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FC1F36" w:rsidRDefault="00FC1F36" w:rsidP="00F009A5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FC1F36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FC1F36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i</m:t>
                            </m:r>
                          </m:sub>
                        </m:sSub>
                      </m:e>
                    </m:acc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FC1F36" w:rsidRPr="00CF394E" w:rsidRDefault="00FC1F36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 w:rsidR="00B0311C">
              <w:rPr>
                <w:noProof/>
                <w:szCs w:val="18"/>
              </w:rPr>
              <w:t>11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FC1F36" w:rsidRDefault="00FC1F36" w:rsidP="00F009A5"/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FC1F36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FC1F36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18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1-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18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</w:rPr>
                                      <m:t>i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</w:rPr>
                                      <m:t>2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Cs w:val="1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2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</w:rPr>
                                      <m:t>ξ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</w:rPr>
                                      <m:t>i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  <w:szCs w:val="18"/>
                  </w:rPr>
                  <m:t xml:space="preserve"> </m:t>
                </m:r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FC1F36" w:rsidRPr="00CF394E" w:rsidRDefault="00FC1F36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 w:rsidR="00B0311C">
              <w:rPr>
                <w:noProof/>
                <w:szCs w:val="18"/>
              </w:rPr>
              <w:t>12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FC1F36" w:rsidRDefault="00FC1F36" w:rsidP="00F009A5"/>
    <w:p w:rsidR="00B0311C" w:rsidRDefault="00B0311C" w:rsidP="00F009A5"/>
    <w:p w:rsidR="00797E48" w:rsidRPr="00CF394E" w:rsidRDefault="006C2CB5" w:rsidP="00797E48">
      <w:pPr>
        <w:keepNext/>
        <w:keepLine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 xml:space="preserve">Em seguida, </w:t>
      </w:r>
      <w:r w:rsidR="00686966">
        <w:t>determina-se o desloc</w:t>
      </w:r>
      <w:r w:rsidR="000A50B7">
        <w:t>amento amplificado</w:t>
      </w:r>
      <w:r w:rsidR="005217D4" w:rsidRPr="005217D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7520BE">
        <w:t xml:space="preserve"> </w:t>
      </w:r>
      <w:r w:rsidR="005217D4">
        <w:t xml:space="preserve">e a defasagem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θ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5217D4">
        <w:t>. Estes definem-se por:</w:t>
      </w:r>
    </w:p>
    <w:p w:rsidR="00514A6E" w:rsidRDefault="00514A6E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5217D4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5217D4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ρ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i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18"/>
                          </w:rPr>
                          <m:t>*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  <w:szCs w:val="18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5217D4" w:rsidRPr="00CF394E" w:rsidRDefault="005217D4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13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5217D4" w:rsidRDefault="005217D4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5217D4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5217D4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θ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arctan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ξ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1-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i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5217D4" w:rsidRPr="00CF394E" w:rsidRDefault="005217D4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14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5217D4" w:rsidRDefault="005217D4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5217D4" w:rsidRDefault="006721E4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 xml:space="preserve">Para finalmente determinar o momento máximo a qual a estrutura estará submetida, </w:t>
      </w:r>
      <w:r w:rsidR="007520BE">
        <w:t>é importante determinar o fator M:</w:t>
      </w:r>
    </w:p>
    <w:p w:rsidR="007520BE" w:rsidRDefault="007520BE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7520BE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7520BE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fator,i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Z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18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  <w:szCs w:val="18"/>
                  </w:rPr>
                  <m:t>*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18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szCs w:val="18"/>
                  </w:rPr>
                  <m:t>*[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]</m:t>
                </m:r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7520BE" w:rsidRPr="00CF394E" w:rsidRDefault="007520BE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 w:rsidR="00E0362F">
              <w:rPr>
                <w:noProof/>
                <w:szCs w:val="18"/>
              </w:rPr>
              <w:t>15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7520BE" w:rsidRDefault="007520BE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E0362F" w:rsidRDefault="007520BE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>Porém, este fator deve ser multiplicado pelo resultado Y</w:t>
      </w:r>
      <w:r>
        <w:rPr>
          <w:vertAlign w:val="subscript"/>
        </w:rPr>
        <w:t>i</w:t>
      </w:r>
      <w:r>
        <w:t>, que é o deslocamento real dado por:</w:t>
      </w:r>
    </w:p>
    <w:p w:rsidR="00E0362F" w:rsidRDefault="00E0362F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E0362F" w:rsidRPr="00710433" w:rsidRDefault="007520BE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 xml:space="preserve"> </w:t>
      </w:r>
    </w:p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E0362F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E0362F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(t)=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ij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ω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Cs w:val="18"/>
                          </w:rPr>
                          <m:t>t-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18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</w:rPr>
                                  <m:t>θ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ij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Cs w:val="18"/>
                          </w:rPr>
                          <m:t>)</m:t>
                        </m:r>
                      </m:e>
                    </m:func>
                  </m:e>
                </m:nary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E0362F" w:rsidRPr="00CF394E" w:rsidRDefault="00E0362F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16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7520BE" w:rsidRDefault="007520BE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1039D0" w:rsidRDefault="001039D0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>Onde i são os modos considerados, de 1 a 3</w:t>
      </w:r>
      <w:r w:rsidR="00686966">
        <w:t>, e j são os harmônicos de 1 a 11. Para maior precisão, Y</w:t>
      </w:r>
      <w:r w:rsidR="00686966">
        <w:rPr>
          <w:vertAlign w:val="subscript"/>
        </w:rPr>
        <w:t>i</w:t>
      </w:r>
      <w:r w:rsidR="00686966">
        <w:t>(t) foi calculado a cada intervalo de tempo igual a 1/10 do período do harmônico de maior frequência de excitação</w:t>
      </w:r>
    </w:p>
    <w:p w:rsidR="00E0362F" w:rsidRDefault="00E0362F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>Com a soma do momento flutuante com o momento estático, determina-se o maior momento a qual a base está submetida.</w:t>
      </w:r>
    </w:p>
    <w:p w:rsidR="00E0362F" w:rsidRDefault="00E0362F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395F4B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395F4B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flutuante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fator,i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395F4B" w:rsidRPr="00CF394E" w:rsidRDefault="00395F4B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17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E0362F" w:rsidRPr="00710433" w:rsidRDefault="00E0362F" w:rsidP="00514A6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tbl>
      <w:tblPr>
        <w:tblStyle w:val="Tabelacomgrade"/>
        <w:tblW w:w="5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709"/>
      </w:tblGrid>
      <w:tr w:rsidR="00395F4B" w:rsidRPr="00CF394E" w:rsidTr="00686966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:rsidR="00395F4B" w:rsidRPr="00CF394E" w:rsidRDefault="004B4007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1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18"/>
                      </w:rPr>
                      <m:t>base</m:t>
                    </m:r>
                  </m:sub>
                </m:sSub>
                <m:r>
                  <w:rPr>
                    <w:rFonts w:ascii="Cambria Math" w:hAnsi="Cambria Math"/>
                    <w:szCs w:val="1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1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max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(M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flutuante</m:t>
                        </m:r>
                      </m:sub>
                    </m:sSub>
                    <m:r>
                      <w:rPr>
                        <w:rFonts w:ascii="Cambria Math" w:hAnsi="Cambria Math"/>
                        <w:szCs w:val="1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</w:rPr>
                          <m:t>estático</m:t>
                        </m:r>
                      </m:sub>
                    </m:sSub>
                    <m:r>
                      <w:rPr>
                        <w:rFonts w:ascii="Cambria Math" w:hAnsi="Cambria Math"/>
                        <w:szCs w:val="18"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709" w:type="dxa"/>
            <w:shd w:val="clear" w:color="auto" w:fill="auto"/>
            <w:vAlign w:val="center"/>
          </w:tcPr>
          <w:p w:rsidR="00395F4B" w:rsidRPr="00CF394E" w:rsidRDefault="00395F4B" w:rsidP="00686966">
            <w:pPr>
              <w:keepNext/>
              <w:keepLines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right"/>
              <w:rPr>
                <w:szCs w:val="18"/>
              </w:rPr>
            </w:pPr>
            <w:r w:rsidRPr="00CF394E">
              <w:rPr>
                <w:szCs w:val="18"/>
              </w:rPr>
              <w:t>(</w:t>
            </w:r>
            <w:r>
              <w:rPr>
                <w:szCs w:val="18"/>
              </w:rPr>
              <w:fldChar w:fldCharType="begin"/>
            </w:r>
            <w:r>
              <w:rPr>
                <w:szCs w:val="18"/>
              </w:rPr>
              <w:instrText xml:space="preserve"> SEQ equação \* MERGEFORMAT </w:instrText>
            </w:r>
            <w:r>
              <w:rPr>
                <w:szCs w:val="18"/>
              </w:rPr>
              <w:fldChar w:fldCharType="separate"/>
            </w:r>
            <w:r>
              <w:rPr>
                <w:noProof/>
                <w:szCs w:val="18"/>
              </w:rPr>
              <w:t>18</w:t>
            </w:r>
            <w:r>
              <w:rPr>
                <w:szCs w:val="18"/>
              </w:rPr>
              <w:fldChar w:fldCharType="end"/>
            </w:r>
            <w:r w:rsidRPr="00CF394E">
              <w:rPr>
                <w:szCs w:val="18"/>
              </w:rPr>
              <w:t>)</w:t>
            </w:r>
          </w:p>
        </w:tc>
      </w:tr>
    </w:tbl>
    <w:p w:rsidR="00874505" w:rsidRDefault="00874505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395F4B" w:rsidRDefault="00686966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>O</w:t>
      </w:r>
      <w:r w:rsidR="0028508C">
        <w:t>s</w:t>
      </w:r>
      <w:r>
        <w:t xml:space="preserve"> gráfico</w:t>
      </w:r>
      <w:r w:rsidR="0028508C">
        <w:t>s</w:t>
      </w:r>
      <w:r>
        <w:t xml:space="preserve"> </w:t>
      </w:r>
      <w:r w:rsidR="00C6183B">
        <w:t>a seguir</w:t>
      </w:r>
      <w:r>
        <w:t xml:space="preserve"> apresenta</w:t>
      </w:r>
      <w:r w:rsidR="0028508C">
        <w:t>m</w:t>
      </w:r>
      <w:r>
        <w:t xml:space="preserve"> os momentos ao</w:t>
      </w:r>
      <w:r w:rsidR="0028508C">
        <w:t>s</w:t>
      </w:r>
      <w:r>
        <w:t xml:space="preserve"> qua</w:t>
      </w:r>
      <w:r w:rsidR="0028508C">
        <w:t>is</w:t>
      </w:r>
      <w:r>
        <w:t xml:space="preserve"> a estrutura está sujeita em função do tempo</w:t>
      </w:r>
      <w:r w:rsidR="00B10075">
        <w:t>, com ângulo</w:t>
      </w:r>
      <w:r w:rsidR="0028508C">
        <w:t>s</w:t>
      </w:r>
      <w:r w:rsidR="00B10075">
        <w:t xml:space="preserve"> de fase nulo</w:t>
      </w:r>
      <w:r w:rsidR="0028508C">
        <w:t>s e com ângulos aleatórios</w:t>
      </w:r>
      <w:r w:rsidR="00B10075">
        <w:t>.</w:t>
      </w:r>
    </w:p>
    <w:p w:rsidR="00686966" w:rsidRDefault="00686966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noProof/>
          <w:snapToGrid/>
          <w:lang w:eastAsia="pt-BR"/>
        </w:rPr>
      </w:pPr>
    </w:p>
    <w:p w:rsidR="00B10075" w:rsidRDefault="0028508C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rPr>
          <w:noProof/>
          <w:snapToGrid/>
          <w:lang w:eastAsia="pt-BR"/>
        </w:rPr>
        <w:drawing>
          <wp:inline distT="0" distB="0" distL="0" distR="0" wp14:anchorId="265DF0B2" wp14:editId="62634753">
            <wp:extent cx="3185795" cy="8667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08C" w:rsidRDefault="0028508C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28508C" w:rsidRDefault="0028508C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rPr>
          <w:noProof/>
          <w:snapToGrid/>
          <w:lang w:eastAsia="pt-BR"/>
        </w:rPr>
        <w:drawing>
          <wp:inline distT="0" distB="0" distL="0" distR="0" wp14:anchorId="4D2E8609" wp14:editId="3B349ABD">
            <wp:extent cx="3185795" cy="9004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75" w:rsidRDefault="00B10075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B10075" w:rsidRDefault="00B10075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>O gráfico a seguir apresenta a distribuição de máximos para combinações de harmônicos com ângulos de fase aleatórios.</w:t>
      </w:r>
    </w:p>
    <w:p w:rsidR="00B10075" w:rsidRDefault="00B10075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B10075" w:rsidRDefault="00B10075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rPr>
          <w:noProof/>
          <w:snapToGrid/>
          <w:lang w:eastAsia="pt-BR"/>
        </w:rPr>
        <w:drawing>
          <wp:inline distT="0" distB="0" distL="0" distR="0" wp14:anchorId="68A37914" wp14:editId="6A2FEB5D">
            <wp:extent cx="3185795" cy="194183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66" w:rsidRDefault="00686966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874505" w:rsidRDefault="00874505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18230C" w:rsidRDefault="0018230C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 w:rsidRPr="00CF394E">
        <w:t>REFERÊNCIAS</w:t>
      </w:r>
    </w:p>
    <w:p w:rsidR="00B10075" w:rsidRDefault="00B10075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2606B8" w:rsidRDefault="002606B8" w:rsidP="002606B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2C5B0D" w:rsidRDefault="002606B8" w:rsidP="002606B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  <w:r>
        <w:t>MAZZILLI, C. E. N.; ANDRÉ, J.C. ; BUCALEM, M. L. ; CIFU, S. . Lições em Mecânica das Estruturas: Dinâmica. 1. ed. São Paulo</w:t>
      </w:r>
      <w:r w:rsidR="00A02CBE">
        <w:t>: Editora Edgard Blücher, 2016</w:t>
      </w:r>
    </w:p>
    <w:p w:rsidR="002606B8" w:rsidRDefault="002606B8" w:rsidP="002606B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</w:pPr>
    </w:p>
    <w:p w:rsidR="002606B8" w:rsidRPr="00A02CBE" w:rsidRDefault="00A02CBE" w:rsidP="002606B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lang w:val="en-US"/>
        </w:rPr>
      </w:pPr>
      <w:r w:rsidRPr="00A02CBE">
        <w:rPr>
          <w:lang w:val="en-US"/>
        </w:rPr>
        <w:t xml:space="preserve">FRANCO, M. . Direct Along-Wind Dynamic Analysis of Tall Structures. </w:t>
      </w:r>
      <w:r>
        <w:rPr>
          <w:lang w:val="en-US"/>
        </w:rPr>
        <w:t>In International Conference of Tall Buildings, Proceedings, Rio de Janeiro, 1993</w:t>
      </w:r>
    </w:p>
    <w:p w:rsidR="00B10075" w:rsidRPr="00A02CBE" w:rsidRDefault="00B10075" w:rsidP="001823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lang w:val="en-US"/>
        </w:rPr>
      </w:pPr>
    </w:p>
    <w:p w:rsidR="00514A6E" w:rsidRPr="00A02CBE" w:rsidRDefault="00514A6E" w:rsidP="00514A6E">
      <w:pPr>
        <w:pStyle w:val="Legenda"/>
        <w:jc w:val="both"/>
        <w:rPr>
          <w:lang w:val="en-US"/>
        </w:rPr>
      </w:pPr>
    </w:p>
    <w:sectPr w:rsidR="00514A6E" w:rsidRPr="00A02CBE" w:rsidSect="001039D0">
      <w:footerReference w:type="default" r:id="rId15"/>
      <w:footnotePr>
        <w:numRestart w:val="eachSect"/>
      </w:footnotePr>
      <w:endnotePr>
        <w:numFmt w:val="decimal"/>
      </w:endnotePr>
      <w:type w:val="continuous"/>
      <w:pgSz w:w="11906" w:h="16838" w:code="9"/>
      <w:pgMar w:top="734" w:right="720" w:bottom="1728" w:left="720" w:header="720" w:footer="576" w:gutter="0"/>
      <w:cols w:num="2" w:space="432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966" w:rsidRDefault="00686966">
      <w:r>
        <w:separator/>
      </w:r>
    </w:p>
  </w:endnote>
  <w:endnote w:type="continuationSeparator" w:id="0">
    <w:p w:rsidR="00686966" w:rsidRDefault="00686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966" w:rsidRPr="005D374E" w:rsidRDefault="00686966" w:rsidP="005D374E">
    <w:pPr>
      <w:pStyle w:val="Rodap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966" w:rsidRDefault="00686966">
      <w:r>
        <w:separator/>
      </w:r>
    </w:p>
  </w:footnote>
  <w:footnote w:type="continuationSeparator" w:id="0">
    <w:p w:rsidR="00686966" w:rsidRDefault="00686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189AE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D476C0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F8D920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26FA2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62C32CE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BA239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D62FA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D0EF9C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243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D48B2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1" w15:restartNumberingAfterBreak="0">
    <w:nsid w:val="060A5AF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FB82DA9"/>
    <w:multiLevelType w:val="singleLevel"/>
    <w:tmpl w:val="271CC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3" w15:restartNumberingAfterBreak="0">
    <w:nsid w:val="1248132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8E718DD"/>
    <w:multiLevelType w:val="hybridMultilevel"/>
    <w:tmpl w:val="BCC66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4F66E7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DFC35EA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B71041C"/>
    <w:multiLevelType w:val="hybridMultilevel"/>
    <w:tmpl w:val="AAA85AAE"/>
    <w:lvl w:ilvl="0" w:tplc="F1EC90FC">
      <w:numFmt w:val="bullet"/>
      <w:lvlText w:val=""/>
      <w:lvlJc w:val="left"/>
      <w:pPr>
        <w:tabs>
          <w:tab w:val="num" w:pos="360"/>
        </w:tabs>
        <w:ind w:left="216" w:hanging="216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2E5C7B"/>
    <w:multiLevelType w:val="hybridMultilevel"/>
    <w:tmpl w:val="3FE6C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6E04BF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7C644D4"/>
    <w:multiLevelType w:val="hybridMultilevel"/>
    <w:tmpl w:val="7C600502"/>
    <w:lvl w:ilvl="0" w:tplc="C902F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2CDE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5F448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708C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68C9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4458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C2D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4643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5DC1E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9F69BE"/>
    <w:multiLevelType w:val="singleLevel"/>
    <w:tmpl w:val="271CC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3"/>
  </w:num>
  <w:num w:numId="13">
    <w:abstractNumId w:val="11"/>
  </w:num>
  <w:num w:numId="14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5">
    <w:abstractNumId w:val="15"/>
  </w:num>
  <w:num w:numId="16">
    <w:abstractNumId w:val="16"/>
  </w:num>
  <w:num w:numId="17">
    <w:abstractNumId w:val="19"/>
  </w:num>
  <w:num w:numId="18">
    <w:abstractNumId w:val="12"/>
  </w:num>
  <w:num w:numId="19">
    <w:abstractNumId w:val="21"/>
  </w:num>
  <w:num w:numId="20">
    <w:abstractNumId w:val="17"/>
  </w:num>
  <w:num w:numId="21">
    <w:abstractNumId w:val="14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Restart w:val="eachSec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AA4"/>
    <w:rsid w:val="000036DE"/>
    <w:rsid w:val="00012D06"/>
    <w:rsid w:val="000168D7"/>
    <w:rsid w:val="00031C21"/>
    <w:rsid w:val="0005181D"/>
    <w:rsid w:val="00061A90"/>
    <w:rsid w:val="00063CAE"/>
    <w:rsid w:val="00066D67"/>
    <w:rsid w:val="00092CDB"/>
    <w:rsid w:val="000A33B4"/>
    <w:rsid w:val="000A4EE5"/>
    <w:rsid w:val="000A50B7"/>
    <w:rsid w:val="000A5CF5"/>
    <w:rsid w:val="000B644E"/>
    <w:rsid w:val="000C252A"/>
    <w:rsid w:val="000D7BD2"/>
    <w:rsid w:val="000E683D"/>
    <w:rsid w:val="001039D0"/>
    <w:rsid w:val="001069DD"/>
    <w:rsid w:val="00110200"/>
    <w:rsid w:val="00133E29"/>
    <w:rsid w:val="00136834"/>
    <w:rsid w:val="001546D3"/>
    <w:rsid w:val="00172094"/>
    <w:rsid w:val="00180488"/>
    <w:rsid w:val="0018230C"/>
    <w:rsid w:val="001A5792"/>
    <w:rsid w:val="001A5D1E"/>
    <w:rsid w:val="001A672E"/>
    <w:rsid w:val="001C437B"/>
    <w:rsid w:val="0021020F"/>
    <w:rsid w:val="00215216"/>
    <w:rsid w:val="00225838"/>
    <w:rsid w:val="00242B30"/>
    <w:rsid w:val="00245CDA"/>
    <w:rsid w:val="002606B8"/>
    <w:rsid w:val="002648A6"/>
    <w:rsid w:val="002656B2"/>
    <w:rsid w:val="0028508C"/>
    <w:rsid w:val="002C5B0D"/>
    <w:rsid w:val="002E75C8"/>
    <w:rsid w:val="002F08B8"/>
    <w:rsid w:val="00310DF6"/>
    <w:rsid w:val="00312FCA"/>
    <w:rsid w:val="003173E5"/>
    <w:rsid w:val="0032275F"/>
    <w:rsid w:val="00324F11"/>
    <w:rsid w:val="00334916"/>
    <w:rsid w:val="003546A6"/>
    <w:rsid w:val="00361970"/>
    <w:rsid w:val="00372BEF"/>
    <w:rsid w:val="003779B3"/>
    <w:rsid w:val="00387727"/>
    <w:rsid w:val="00395F4B"/>
    <w:rsid w:val="003A5867"/>
    <w:rsid w:val="003B088B"/>
    <w:rsid w:val="003C641E"/>
    <w:rsid w:val="003F45C3"/>
    <w:rsid w:val="00405CF0"/>
    <w:rsid w:val="00415AB2"/>
    <w:rsid w:val="00420CF2"/>
    <w:rsid w:val="0042213D"/>
    <w:rsid w:val="004257BF"/>
    <w:rsid w:val="00431AF6"/>
    <w:rsid w:val="00444D42"/>
    <w:rsid w:val="00453BF3"/>
    <w:rsid w:val="00461ADA"/>
    <w:rsid w:val="0049051C"/>
    <w:rsid w:val="0049336B"/>
    <w:rsid w:val="004936A3"/>
    <w:rsid w:val="0049580B"/>
    <w:rsid w:val="00497B58"/>
    <w:rsid w:val="004A5C7F"/>
    <w:rsid w:val="004B4007"/>
    <w:rsid w:val="004B4837"/>
    <w:rsid w:val="004B490F"/>
    <w:rsid w:val="004C0B9B"/>
    <w:rsid w:val="004F2467"/>
    <w:rsid w:val="005056A7"/>
    <w:rsid w:val="0051433E"/>
    <w:rsid w:val="00514476"/>
    <w:rsid w:val="00514A6E"/>
    <w:rsid w:val="00514DF8"/>
    <w:rsid w:val="005217D4"/>
    <w:rsid w:val="00523F3E"/>
    <w:rsid w:val="005310DA"/>
    <w:rsid w:val="00556D4A"/>
    <w:rsid w:val="00571D63"/>
    <w:rsid w:val="00592965"/>
    <w:rsid w:val="005A13D1"/>
    <w:rsid w:val="005D31D9"/>
    <w:rsid w:val="005D374E"/>
    <w:rsid w:val="005E08A2"/>
    <w:rsid w:val="005E4223"/>
    <w:rsid w:val="005F0BB3"/>
    <w:rsid w:val="00636560"/>
    <w:rsid w:val="00636737"/>
    <w:rsid w:val="00636DF1"/>
    <w:rsid w:val="006424DC"/>
    <w:rsid w:val="006721E4"/>
    <w:rsid w:val="00676032"/>
    <w:rsid w:val="00686966"/>
    <w:rsid w:val="006944FE"/>
    <w:rsid w:val="00694717"/>
    <w:rsid w:val="006B2441"/>
    <w:rsid w:val="006B3D80"/>
    <w:rsid w:val="006B64F8"/>
    <w:rsid w:val="006C2CB5"/>
    <w:rsid w:val="006F7B4E"/>
    <w:rsid w:val="00707AED"/>
    <w:rsid w:val="00710433"/>
    <w:rsid w:val="00720533"/>
    <w:rsid w:val="00741872"/>
    <w:rsid w:val="00743AD3"/>
    <w:rsid w:val="007520BE"/>
    <w:rsid w:val="0075685E"/>
    <w:rsid w:val="00757783"/>
    <w:rsid w:val="0077206A"/>
    <w:rsid w:val="0078171F"/>
    <w:rsid w:val="00791FA9"/>
    <w:rsid w:val="00797E48"/>
    <w:rsid w:val="007A6055"/>
    <w:rsid w:val="007A716A"/>
    <w:rsid w:val="007B26B3"/>
    <w:rsid w:val="008015B5"/>
    <w:rsid w:val="00806A4F"/>
    <w:rsid w:val="0081409F"/>
    <w:rsid w:val="0082612E"/>
    <w:rsid w:val="00830A43"/>
    <w:rsid w:val="008353B2"/>
    <w:rsid w:val="00842E2E"/>
    <w:rsid w:val="00846C72"/>
    <w:rsid w:val="00855E04"/>
    <w:rsid w:val="00867F78"/>
    <w:rsid w:val="00874505"/>
    <w:rsid w:val="008877F5"/>
    <w:rsid w:val="00890817"/>
    <w:rsid w:val="008931A8"/>
    <w:rsid w:val="008A0147"/>
    <w:rsid w:val="008A2608"/>
    <w:rsid w:val="008A6D3F"/>
    <w:rsid w:val="008B2BD5"/>
    <w:rsid w:val="008B57B8"/>
    <w:rsid w:val="008B61C0"/>
    <w:rsid w:val="008F6335"/>
    <w:rsid w:val="0090424F"/>
    <w:rsid w:val="00905902"/>
    <w:rsid w:val="0090784D"/>
    <w:rsid w:val="00911CF8"/>
    <w:rsid w:val="00917F0F"/>
    <w:rsid w:val="00920A42"/>
    <w:rsid w:val="00953A68"/>
    <w:rsid w:val="009852E5"/>
    <w:rsid w:val="00990AD4"/>
    <w:rsid w:val="009A65C3"/>
    <w:rsid w:val="009D2887"/>
    <w:rsid w:val="009F28D2"/>
    <w:rsid w:val="00A00145"/>
    <w:rsid w:val="00A01862"/>
    <w:rsid w:val="00A02CBE"/>
    <w:rsid w:val="00A1423D"/>
    <w:rsid w:val="00A21357"/>
    <w:rsid w:val="00A25103"/>
    <w:rsid w:val="00A341AE"/>
    <w:rsid w:val="00A652D5"/>
    <w:rsid w:val="00A656C6"/>
    <w:rsid w:val="00A87F10"/>
    <w:rsid w:val="00AB3C67"/>
    <w:rsid w:val="00AE05F0"/>
    <w:rsid w:val="00AF1577"/>
    <w:rsid w:val="00B026BE"/>
    <w:rsid w:val="00B0311C"/>
    <w:rsid w:val="00B10075"/>
    <w:rsid w:val="00B13858"/>
    <w:rsid w:val="00B1651C"/>
    <w:rsid w:val="00B16A9B"/>
    <w:rsid w:val="00B45AA4"/>
    <w:rsid w:val="00B47B01"/>
    <w:rsid w:val="00B57A86"/>
    <w:rsid w:val="00B916CF"/>
    <w:rsid w:val="00BB09FB"/>
    <w:rsid w:val="00BC0FB6"/>
    <w:rsid w:val="00BC595B"/>
    <w:rsid w:val="00BD771B"/>
    <w:rsid w:val="00C0040B"/>
    <w:rsid w:val="00C055EB"/>
    <w:rsid w:val="00C23DE4"/>
    <w:rsid w:val="00C246E2"/>
    <w:rsid w:val="00C33A8F"/>
    <w:rsid w:val="00C50AF0"/>
    <w:rsid w:val="00C6033B"/>
    <w:rsid w:val="00C6183B"/>
    <w:rsid w:val="00C64D82"/>
    <w:rsid w:val="00C821BD"/>
    <w:rsid w:val="00C83B01"/>
    <w:rsid w:val="00C907AF"/>
    <w:rsid w:val="00CA28D7"/>
    <w:rsid w:val="00CC22E0"/>
    <w:rsid w:val="00CC61F0"/>
    <w:rsid w:val="00CC7349"/>
    <w:rsid w:val="00CE7D32"/>
    <w:rsid w:val="00CF394E"/>
    <w:rsid w:val="00D02690"/>
    <w:rsid w:val="00D07DF1"/>
    <w:rsid w:val="00D13B19"/>
    <w:rsid w:val="00D32A7D"/>
    <w:rsid w:val="00D468BE"/>
    <w:rsid w:val="00D558C2"/>
    <w:rsid w:val="00D642BA"/>
    <w:rsid w:val="00D7115A"/>
    <w:rsid w:val="00DA7100"/>
    <w:rsid w:val="00DB607E"/>
    <w:rsid w:val="00DC7B9C"/>
    <w:rsid w:val="00DD07BA"/>
    <w:rsid w:val="00DD0F1F"/>
    <w:rsid w:val="00DD1C7C"/>
    <w:rsid w:val="00DE43EC"/>
    <w:rsid w:val="00DE63B7"/>
    <w:rsid w:val="00DF40A5"/>
    <w:rsid w:val="00E0362F"/>
    <w:rsid w:val="00E13215"/>
    <w:rsid w:val="00E160AC"/>
    <w:rsid w:val="00E17ADF"/>
    <w:rsid w:val="00E3285D"/>
    <w:rsid w:val="00E453CD"/>
    <w:rsid w:val="00E63FD8"/>
    <w:rsid w:val="00E6616A"/>
    <w:rsid w:val="00E71AA8"/>
    <w:rsid w:val="00E7525F"/>
    <w:rsid w:val="00E86E1F"/>
    <w:rsid w:val="00E92354"/>
    <w:rsid w:val="00E97AE4"/>
    <w:rsid w:val="00EA0FD0"/>
    <w:rsid w:val="00EA66C3"/>
    <w:rsid w:val="00EB33A2"/>
    <w:rsid w:val="00EB7469"/>
    <w:rsid w:val="00EC5B59"/>
    <w:rsid w:val="00EE2985"/>
    <w:rsid w:val="00EF210F"/>
    <w:rsid w:val="00EF2A16"/>
    <w:rsid w:val="00EF2E2E"/>
    <w:rsid w:val="00EF4257"/>
    <w:rsid w:val="00EF4EE7"/>
    <w:rsid w:val="00F009A5"/>
    <w:rsid w:val="00F15042"/>
    <w:rsid w:val="00F378BA"/>
    <w:rsid w:val="00F452C5"/>
    <w:rsid w:val="00F51B8A"/>
    <w:rsid w:val="00F65143"/>
    <w:rsid w:val="00F773E4"/>
    <w:rsid w:val="00F85288"/>
    <w:rsid w:val="00FB0BC6"/>
    <w:rsid w:val="00FB48F6"/>
    <w:rsid w:val="00FC1F36"/>
    <w:rsid w:val="00FD0613"/>
    <w:rsid w:val="00FD4178"/>
    <w:rsid w:val="00FE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DE4FD7BB-98F9-497C-BA06-BA6020650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395F4B"/>
    <w:pPr>
      <w:widowControl w:val="0"/>
    </w:pPr>
    <w:rPr>
      <w:snapToGrid w:val="0"/>
      <w:sz w:val="22"/>
      <w:lang w:val="pt-BR"/>
    </w:rPr>
  </w:style>
  <w:style w:type="paragraph" w:styleId="Ttulo1">
    <w:name w:val="heading 1"/>
    <w:basedOn w:val="Normal"/>
    <w:next w:val="Normal"/>
    <w:qFormat/>
    <w:rsid w:val="005056A7"/>
    <w:pPr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5056A7"/>
    <w:pPr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5056A7"/>
    <w:pPr>
      <w:outlineLvl w:val="2"/>
    </w:pPr>
  </w:style>
  <w:style w:type="paragraph" w:styleId="Ttulo4">
    <w:name w:val="heading 4"/>
    <w:basedOn w:val="Normal"/>
    <w:next w:val="Normal"/>
    <w:qFormat/>
    <w:rsid w:val="005056A7"/>
    <w:pPr>
      <w:outlineLvl w:val="3"/>
    </w:pPr>
  </w:style>
  <w:style w:type="paragraph" w:styleId="Ttulo5">
    <w:name w:val="heading 5"/>
    <w:basedOn w:val="Normal"/>
    <w:next w:val="Normal"/>
    <w:qFormat/>
    <w:rsid w:val="005056A7"/>
    <w:pPr>
      <w:outlineLvl w:val="4"/>
    </w:pPr>
  </w:style>
  <w:style w:type="paragraph" w:styleId="Ttulo6">
    <w:name w:val="heading 6"/>
    <w:basedOn w:val="Normal"/>
    <w:next w:val="Normal"/>
    <w:qFormat/>
    <w:rsid w:val="005056A7"/>
    <w:pPr>
      <w:outlineLvl w:val="5"/>
    </w:pPr>
    <w:rPr>
      <w:rFonts w:ascii="Arial" w:hAnsi="Arial"/>
    </w:rPr>
  </w:style>
  <w:style w:type="paragraph" w:styleId="Ttulo7">
    <w:name w:val="heading 7"/>
    <w:basedOn w:val="Normal"/>
    <w:next w:val="Normal"/>
    <w:qFormat/>
    <w:rsid w:val="005056A7"/>
    <w:pPr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qFormat/>
    <w:rsid w:val="005056A7"/>
    <w:pPr>
      <w:outlineLvl w:val="7"/>
    </w:pPr>
    <w:rPr>
      <w:rFonts w:ascii="Arial" w:hAnsi="Arial"/>
    </w:rPr>
  </w:style>
  <w:style w:type="paragraph" w:styleId="Ttulo9">
    <w:name w:val="heading 9"/>
    <w:basedOn w:val="Normal"/>
    <w:next w:val="Normal"/>
    <w:qFormat/>
    <w:rsid w:val="005056A7"/>
    <w:pPr>
      <w:outlineLvl w:val="8"/>
    </w:pPr>
    <w:rPr>
      <w:rFonts w:ascii="Arial" w:hAnsi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5056A7"/>
    <w:rPr>
      <w:color w:val="0000FF"/>
    </w:rPr>
  </w:style>
  <w:style w:type="paragraph" w:styleId="Cabealho">
    <w:name w:val="header"/>
    <w:basedOn w:val="Normal"/>
    <w:rsid w:val="005056A7"/>
    <w:pPr>
      <w:tabs>
        <w:tab w:val="left" w:pos="0"/>
        <w:tab w:val="center" w:pos="4320"/>
        <w:tab w:val="right" w:pos="8640"/>
        <w:tab w:val="left" w:pos="9360"/>
        <w:tab w:val="left" w:pos="10080"/>
      </w:tabs>
    </w:pPr>
  </w:style>
  <w:style w:type="paragraph" w:styleId="Legenda">
    <w:name w:val="caption"/>
    <w:basedOn w:val="Normal"/>
    <w:next w:val="Normal"/>
    <w:qFormat/>
    <w:rsid w:val="005056A7"/>
    <w:pPr>
      <w:jc w:val="center"/>
    </w:pPr>
  </w:style>
  <w:style w:type="paragraph" w:styleId="MapadoDocumento">
    <w:name w:val="Document Map"/>
    <w:basedOn w:val="Normal"/>
    <w:semiHidden/>
    <w:rsid w:val="005056A7"/>
    <w:rPr>
      <w:rFonts w:ascii="Tahoma" w:hAnsi="Tahoma"/>
    </w:rPr>
  </w:style>
  <w:style w:type="paragraph" w:styleId="Recuodecorpodetexto">
    <w:name w:val="Body Text Indent"/>
    <w:basedOn w:val="Normal"/>
    <w:rsid w:val="005056A7"/>
  </w:style>
  <w:style w:type="character" w:styleId="Nmerodepgina">
    <w:name w:val="page number"/>
    <w:basedOn w:val="Fontepargpadro"/>
    <w:rsid w:val="005056A7"/>
  </w:style>
  <w:style w:type="paragraph" w:customStyle="1" w:styleId="References">
    <w:name w:val="References"/>
    <w:rsid w:val="005056A7"/>
    <w:pPr>
      <w:widowControl w:val="0"/>
      <w:tabs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  <w:tab w:val="left" w:pos="9720"/>
      </w:tabs>
      <w:ind w:left="360"/>
    </w:pPr>
    <w:rPr>
      <w:snapToGrid w:val="0"/>
    </w:rPr>
  </w:style>
  <w:style w:type="paragraph" w:customStyle="1" w:styleId="Captions">
    <w:name w:val="Captions"/>
    <w:rsid w:val="005056A7"/>
    <w:pPr>
      <w:widowControl w:val="0"/>
      <w:jc w:val="center"/>
    </w:pPr>
    <w:rPr>
      <w:snapToGrid w:val="0"/>
      <w:sz w:val="18"/>
    </w:rPr>
  </w:style>
  <w:style w:type="paragraph" w:styleId="Numerada">
    <w:name w:val="List Number"/>
    <w:basedOn w:val="Normal"/>
    <w:rsid w:val="005056A7"/>
    <w:pPr>
      <w:tabs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ind w:left="1080"/>
    </w:pPr>
  </w:style>
  <w:style w:type="paragraph" w:customStyle="1" w:styleId="Abstract">
    <w:name w:val="Abstract"/>
    <w:rsid w:val="005056A7"/>
    <w:pPr>
      <w:widowControl w:val="0"/>
    </w:pPr>
    <w:rPr>
      <w:snapToGrid w:val="0"/>
      <w:sz w:val="18"/>
    </w:rPr>
  </w:style>
  <w:style w:type="paragraph" w:customStyle="1" w:styleId="EMail">
    <w:name w:val="EMail"/>
    <w:rsid w:val="005056A7"/>
    <w:pPr>
      <w:widowControl w:val="0"/>
      <w:jc w:val="center"/>
    </w:pPr>
    <w:rPr>
      <w:snapToGrid w:val="0"/>
      <w:sz w:val="24"/>
    </w:rPr>
  </w:style>
  <w:style w:type="paragraph" w:styleId="Rodap">
    <w:name w:val="footer"/>
    <w:basedOn w:val="Normal"/>
    <w:rsid w:val="005056A7"/>
    <w:pPr>
      <w:tabs>
        <w:tab w:val="left" w:pos="0"/>
        <w:tab w:val="center" w:pos="4320"/>
        <w:tab w:val="right" w:pos="8640"/>
        <w:tab w:val="left" w:pos="9360"/>
        <w:tab w:val="left" w:pos="10080"/>
      </w:tabs>
    </w:pPr>
  </w:style>
  <w:style w:type="paragraph" w:customStyle="1" w:styleId="Bullet">
    <w:name w:val="Bullet"/>
    <w:rsid w:val="005056A7"/>
    <w:pPr>
      <w:widowControl w:val="0"/>
      <w:tabs>
        <w:tab w:val="left" w:pos="0"/>
        <w:tab w:val="left" w:pos="216"/>
        <w:tab w:val="left" w:pos="576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  <w:tab w:val="left" w:pos="8496"/>
        <w:tab w:val="left" w:pos="9216"/>
        <w:tab w:val="left" w:pos="9936"/>
      </w:tabs>
      <w:ind w:left="144"/>
    </w:pPr>
    <w:rPr>
      <w:snapToGrid w:val="0"/>
      <w:sz w:val="18"/>
    </w:rPr>
  </w:style>
  <w:style w:type="paragraph" w:customStyle="1" w:styleId="footnotetex">
    <w:name w:val="footnote tex"/>
    <w:rsid w:val="005056A7"/>
    <w:pPr>
      <w:widowControl w:val="0"/>
      <w:tabs>
        <w:tab w:val="left" w:pos="-144"/>
        <w:tab w:val="left" w:pos="0"/>
        <w:tab w:val="left" w:pos="576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  <w:tab w:val="left" w:pos="8496"/>
        <w:tab w:val="left" w:pos="9216"/>
        <w:tab w:val="left" w:pos="9936"/>
      </w:tabs>
      <w:ind w:left="144"/>
    </w:pPr>
    <w:rPr>
      <w:snapToGrid w:val="0"/>
      <w:sz w:val="18"/>
    </w:rPr>
  </w:style>
  <w:style w:type="paragraph" w:customStyle="1" w:styleId="Affiliations">
    <w:name w:val="Affiliations"/>
    <w:rsid w:val="005056A7"/>
    <w:pPr>
      <w:widowControl w:val="0"/>
      <w:jc w:val="center"/>
    </w:pPr>
    <w:rPr>
      <w:rFonts w:ascii="Helvetica" w:hAnsi="Helvetica"/>
      <w:snapToGrid w:val="0"/>
    </w:rPr>
  </w:style>
  <w:style w:type="paragraph" w:customStyle="1" w:styleId="PaperTitle">
    <w:name w:val="PaperTitle"/>
    <w:rsid w:val="005056A7"/>
    <w:pPr>
      <w:widowControl w:val="0"/>
      <w:jc w:val="center"/>
    </w:pPr>
    <w:rPr>
      <w:rFonts w:ascii="Helvetica" w:hAnsi="Helvetica"/>
      <w:snapToGrid w:val="0"/>
      <w:sz w:val="36"/>
    </w:rPr>
  </w:style>
  <w:style w:type="paragraph" w:customStyle="1" w:styleId="Author">
    <w:name w:val="Author"/>
    <w:rsid w:val="005056A7"/>
    <w:pPr>
      <w:widowControl w:val="0"/>
      <w:jc w:val="center"/>
    </w:pPr>
    <w:rPr>
      <w:rFonts w:ascii="Helvetica" w:hAnsi="Helvetica"/>
      <w:snapToGrid w:val="0"/>
      <w:sz w:val="24"/>
    </w:rPr>
  </w:style>
  <w:style w:type="character" w:customStyle="1" w:styleId="footnoteref">
    <w:name w:val="footnote ref"/>
    <w:rsid w:val="005056A7"/>
    <w:rPr>
      <w:sz w:val="18"/>
    </w:rPr>
  </w:style>
  <w:style w:type="character" w:customStyle="1" w:styleId="DefaultPara">
    <w:name w:val="Default Para"/>
    <w:rsid w:val="005056A7"/>
  </w:style>
  <w:style w:type="paragraph" w:styleId="Corpodetexto">
    <w:name w:val="Body Text"/>
    <w:basedOn w:val="Normal"/>
    <w:rsid w:val="005056A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both"/>
    </w:pPr>
  </w:style>
  <w:style w:type="paragraph" w:styleId="Corpodetexto2">
    <w:name w:val="Body Text 2"/>
    <w:basedOn w:val="Normal"/>
    <w:rsid w:val="005056A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both"/>
    </w:pPr>
    <w:rPr>
      <w:spacing w:val="-2"/>
      <w:sz w:val="19"/>
    </w:rPr>
  </w:style>
  <w:style w:type="paragraph" w:styleId="Corpodetexto3">
    <w:name w:val="Body Text 3"/>
    <w:basedOn w:val="Normal"/>
    <w:rsid w:val="005056A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both"/>
    </w:pPr>
  </w:style>
  <w:style w:type="paragraph" w:styleId="Textoembloco">
    <w:name w:val="Block Text"/>
    <w:basedOn w:val="Normal"/>
    <w:rsid w:val="005056A7"/>
    <w:pPr>
      <w:spacing w:after="120"/>
      <w:ind w:left="1440" w:right="1440"/>
    </w:pPr>
  </w:style>
  <w:style w:type="paragraph" w:styleId="Primeirorecuodecorpodetexto">
    <w:name w:val="Body Text First Indent"/>
    <w:basedOn w:val="Corpodetexto"/>
    <w:rsid w:val="005056A7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</w:tabs>
      <w:spacing w:after="120"/>
      <w:ind w:firstLine="210"/>
      <w:jc w:val="left"/>
    </w:pPr>
  </w:style>
  <w:style w:type="paragraph" w:styleId="Primeirorecuodecorpodetexto2">
    <w:name w:val="Body Text First Indent 2"/>
    <w:basedOn w:val="Recuodecorpodetexto"/>
    <w:rsid w:val="005056A7"/>
    <w:pPr>
      <w:spacing w:after="120"/>
      <w:ind w:left="360" w:firstLine="210"/>
    </w:pPr>
    <w:rPr>
      <w:sz w:val="20"/>
    </w:rPr>
  </w:style>
  <w:style w:type="paragraph" w:styleId="Recuodecorpodetexto2">
    <w:name w:val="Body Text Indent 2"/>
    <w:basedOn w:val="Normal"/>
    <w:rsid w:val="005056A7"/>
    <w:pPr>
      <w:spacing w:after="120" w:line="480" w:lineRule="auto"/>
      <w:ind w:left="360"/>
    </w:pPr>
  </w:style>
  <w:style w:type="paragraph" w:styleId="Recuodecorpodetexto3">
    <w:name w:val="Body Text Indent 3"/>
    <w:basedOn w:val="Normal"/>
    <w:rsid w:val="005056A7"/>
    <w:pPr>
      <w:spacing w:after="120"/>
      <w:ind w:left="360"/>
    </w:pPr>
    <w:rPr>
      <w:sz w:val="16"/>
      <w:szCs w:val="16"/>
    </w:rPr>
  </w:style>
  <w:style w:type="paragraph" w:styleId="Encerramento">
    <w:name w:val="Closing"/>
    <w:basedOn w:val="Normal"/>
    <w:rsid w:val="005056A7"/>
    <w:pPr>
      <w:ind w:left="4320"/>
    </w:pPr>
  </w:style>
  <w:style w:type="paragraph" w:styleId="Textodecomentrio">
    <w:name w:val="annotation text"/>
    <w:basedOn w:val="Normal"/>
    <w:semiHidden/>
    <w:rsid w:val="005056A7"/>
  </w:style>
  <w:style w:type="paragraph" w:styleId="Data">
    <w:name w:val="Date"/>
    <w:basedOn w:val="Normal"/>
    <w:next w:val="Normal"/>
    <w:rsid w:val="005056A7"/>
  </w:style>
  <w:style w:type="paragraph" w:styleId="AssinaturadeEmail">
    <w:name w:val="E-mail Signature"/>
    <w:basedOn w:val="Normal"/>
    <w:rsid w:val="005056A7"/>
  </w:style>
  <w:style w:type="paragraph" w:styleId="Textodenotadefim">
    <w:name w:val="endnote text"/>
    <w:basedOn w:val="Normal"/>
    <w:semiHidden/>
    <w:rsid w:val="005056A7"/>
  </w:style>
  <w:style w:type="paragraph" w:styleId="Destinatrio">
    <w:name w:val="envelope address"/>
    <w:basedOn w:val="Normal"/>
    <w:rsid w:val="005056A7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sid w:val="005056A7"/>
    <w:rPr>
      <w:rFonts w:ascii="Arial" w:hAnsi="Arial" w:cs="Arial"/>
    </w:rPr>
  </w:style>
  <w:style w:type="paragraph" w:styleId="Textodenotaderodap">
    <w:name w:val="footnote text"/>
    <w:basedOn w:val="Normal"/>
    <w:semiHidden/>
    <w:rsid w:val="005056A7"/>
  </w:style>
  <w:style w:type="paragraph" w:styleId="EndereoHTML">
    <w:name w:val="HTML Address"/>
    <w:basedOn w:val="Normal"/>
    <w:rsid w:val="005056A7"/>
    <w:rPr>
      <w:i/>
      <w:iCs/>
    </w:rPr>
  </w:style>
  <w:style w:type="paragraph" w:styleId="Pr-formataoHTML">
    <w:name w:val="HTML Preformatted"/>
    <w:basedOn w:val="Normal"/>
    <w:rsid w:val="005056A7"/>
    <w:rPr>
      <w:rFonts w:ascii="Courier New" w:hAnsi="Courier New" w:cs="Courier New"/>
    </w:rPr>
  </w:style>
  <w:style w:type="paragraph" w:styleId="Remissivo1">
    <w:name w:val="index 1"/>
    <w:basedOn w:val="Normal"/>
    <w:next w:val="Normal"/>
    <w:autoRedefine/>
    <w:semiHidden/>
    <w:rsid w:val="005056A7"/>
    <w:pPr>
      <w:ind w:left="200" w:hanging="200"/>
    </w:pPr>
  </w:style>
  <w:style w:type="paragraph" w:styleId="Remissivo2">
    <w:name w:val="index 2"/>
    <w:basedOn w:val="Normal"/>
    <w:next w:val="Normal"/>
    <w:autoRedefine/>
    <w:semiHidden/>
    <w:rsid w:val="005056A7"/>
    <w:pPr>
      <w:ind w:left="400" w:hanging="200"/>
    </w:pPr>
  </w:style>
  <w:style w:type="paragraph" w:styleId="Remissivo3">
    <w:name w:val="index 3"/>
    <w:basedOn w:val="Normal"/>
    <w:next w:val="Normal"/>
    <w:autoRedefine/>
    <w:semiHidden/>
    <w:rsid w:val="005056A7"/>
    <w:pPr>
      <w:ind w:left="600" w:hanging="200"/>
    </w:pPr>
  </w:style>
  <w:style w:type="paragraph" w:styleId="Remissivo4">
    <w:name w:val="index 4"/>
    <w:basedOn w:val="Normal"/>
    <w:next w:val="Normal"/>
    <w:autoRedefine/>
    <w:semiHidden/>
    <w:rsid w:val="005056A7"/>
    <w:pPr>
      <w:ind w:left="800" w:hanging="200"/>
    </w:pPr>
  </w:style>
  <w:style w:type="paragraph" w:styleId="Remissivo5">
    <w:name w:val="index 5"/>
    <w:basedOn w:val="Normal"/>
    <w:next w:val="Normal"/>
    <w:autoRedefine/>
    <w:semiHidden/>
    <w:rsid w:val="005056A7"/>
    <w:pPr>
      <w:ind w:left="1000" w:hanging="200"/>
    </w:pPr>
  </w:style>
  <w:style w:type="paragraph" w:styleId="Remissivo6">
    <w:name w:val="index 6"/>
    <w:basedOn w:val="Normal"/>
    <w:next w:val="Normal"/>
    <w:autoRedefine/>
    <w:semiHidden/>
    <w:rsid w:val="005056A7"/>
    <w:pPr>
      <w:ind w:left="1200" w:hanging="200"/>
    </w:pPr>
  </w:style>
  <w:style w:type="paragraph" w:styleId="Remissivo7">
    <w:name w:val="index 7"/>
    <w:basedOn w:val="Normal"/>
    <w:next w:val="Normal"/>
    <w:autoRedefine/>
    <w:semiHidden/>
    <w:rsid w:val="005056A7"/>
    <w:pPr>
      <w:ind w:left="1400" w:hanging="200"/>
    </w:pPr>
  </w:style>
  <w:style w:type="paragraph" w:styleId="Remissivo8">
    <w:name w:val="index 8"/>
    <w:basedOn w:val="Normal"/>
    <w:next w:val="Normal"/>
    <w:autoRedefine/>
    <w:semiHidden/>
    <w:rsid w:val="005056A7"/>
    <w:pPr>
      <w:ind w:left="1600" w:hanging="200"/>
    </w:pPr>
  </w:style>
  <w:style w:type="paragraph" w:styleId="Remissivo9">
    <w:name w:val="index 9"/>
    <w:basedOn w:val="Normal"/>
    <w:next w:val="Normal"/>
    <w:autoRedefine/>
    <w:semiHidden/>
    <w:rsid w:val="005056A7"/>
    <w:pPr>
      <w:ind w:left="1800" w:hanging="200"/>
    </w:pPr>
  </w:style>
  <w:style w:type="paragraph" w:styleId="Ttulodendiceremissivo">
    <w:name w:val="index heading"/>
    <w:basedOn w:val="Normal"/>
    <w:next w:val="Remissivo1"/>
    <w:semiHidden/>
    <w:rsid w:val="005056A7"/>
    <w:rPr>
      <w:rFonts w:ascii="Arial" w:hAnsi="Arial" w:cs="Arial"/>
      <w:b/>
      <w:bCs/>
    </w:rPr>
  </w:style>
  <w:style w:type="paragraph" w:styleId="Lista">
    <w:name w:val="List"/>
    <w:basedOn w:val="Normal"/>
    <w:rsid w:val="005056A7"/>
    <w:pPr>
      <w:ind w:left="360" w:hanging="360"/>
    </w:pPr>
  </w:style>
  <w:style w:type="paragraph" w:styleId="Lista2">
    <w:name w:val="List 2"/>
    <w:basedOn w:val="Normal"/>
    <w:rsid w:val="005056A7"/>
    <w:pPr>
      <w:ind w:left="720" w:hanging="360"/>
    </w:pPr>
  </w:style>
  <w:style w:type="paragraph" w:styleId="Lista3">
    <w:name w:val="List 3"/>
    <w:basedOn w:val="Normal"/>
    <w:rsid w:val="005056A7"/>
    <w:pPr>
      <w:ind w:left="1080" w:hanging="360"/>
    </w:pPr>
  </w:style>
  <w:style w:type="paragraph" w:styleId="Lista4">
    <w:name w:val="List 4"/>
    <w:basedOn w:val="Normal"/>
    <w:rsid w:val="005056A7"/>
    <w:pPr>
      <w:ind w:left="1440" w:hanging="360"/>
    </w:pPr>
  </w:style>
  <w:style w:type="paragraph" w:styleId="Lista5">
    <w:name w:val="List 5"/>
    <w:basedOn w:val="Normal"/>
    <w:rsid w:val="005056A7"/>
    <w:pPr>
      <w:ind w:left="1800" w:hanging="360"/>
    </w:pPr>
  </w:style>
  <w:style w:type="paragraph" w:styleId="Commarcadores">
    <w:name w:val="List Bullet"/>
    <w:basedOn w:val="Normal"/>
    <w:autoRedefine/>
    <w:rsid w:val="005056A7"/>
    <w:pPr>
      <w:numPr>
        <w:numId w:val="2"/>
      </w:numPr>
    </w:pPr>
  </w:style>
  <w:style w:type="paragraph" w:styleId="Commarcadores2">
    <w:name w:val="List Bullet 2"/>
    <w:basedOn w:val="Normal"/>
    <w:autoRedefine/>
    <w:rsid w:val="005056A7"/>
    <w:pPr>
      <w:numPr>
        <w:numId w:val="3"/>
      </w:numPr>
    </w:pPr>
  </w:style>
  <w:style w:type="paragraph" w:styleId="Commarcadores3">
    <w:name w:val="List Bullet 3"/>
    <w:basedOn w:val="Normal"/>
    <w:autoRedefine/>
    <w:rsid w:val="005056A7"/>
    <w:pPr>
      <w:numPr>
        <w:numId w:val="4"/>
      </w:numPr>
    </w:pPr>
  </w:style>
  <w:style w:type="paragraph" w:styleId="Commarcadores4">
    <w:name w:val="List Bullet 4"/>
    <w:basedOn w:val="Normal"/>
    <w:autoRedefine/>
    <w:rsid w:val="005056A7"/>
    <w:pPr>
      <w:numPr>
        <w:numId w:val="5"/>
      </w:numPr>
    </w:pPr>
  </w:style>
  <w:style w:type="paragraph" w:styleId="Commarcadores5">
    <w:name w:val="List Bullet 5"/>
    <w:basedOn w:val="Normal"/>
    <w:autoRedefine/>
    <w:rsid w:val="005056A7"/>
    <w:pPr>
      <w:numPr>
        <w:numId w:val="6"/>
      </w:numPr>
    </w:pPr>
  </w:style>
  <w:style w:type="paragraph" w:styleId="Listadecontinuao">
    <w:name w:val="List Continue"/>
    <w:basedOn w:val="Normal"/>
    <w:rsid w:val="005056A7"/>
    <w:pPr>
      <w:spacing w:after="120"/>
      <w:ind w:left="360"/>
    </w:pPr>
  </w:style>
  <w:style w:type="paragraph" w:styleId="Listadecontinuao2">
    <w:name w:val="List Continue 2"/>
    <w:basedOn w:val="Normal"/>
    <w:rsid w:val="005056A7"/>
    <w:pPr>
      <w:spacing w:after="120"/>
      <w:ind w:left="720"/>
    </w:pPr>
  </w:style>
  <w:style w:type="paragraph" w:styleId="Listadecontinuao3">
    <w:name w:val="List Continue 3"/>
    <w:basedOn w:val="Normal"/>
    <w:rsid w:val="005056A7"/>
    <w:pPr>
      <w:spacing w:after="120"/>
      <w:ind w:left="1080"/>
    </w:pPr>
  </w:style>
  <w:style w:type="paragraph" w:styleId="Listadecontinuao4">
    <w:name w:val="List Continue 4"/>
    <w:basedOn w:val="Normal"/>
    <w:rsid w:val="005056A7"/>
    <w:pPr>
      <w:spacing w:after="120"/>
      <w:ind w:left="1440"/>
    </w:pPr>
  </w:style>
  <w:style w:type="paragraph" w:styleId="Listadecontinuao5">
    <w:name w:val="List Continue 5"/>
    <w:basedOn w:val="Normal"/>
    <w:rsid w:val="005056A7"/>
    <w:pPr>
      <w:spacing w:after="120"/>
      <w:ind w:left="1800"/>
    </w:pPr>
  </w:style>
  <w:style w:type="paragraph" w:styleId="Numerada2">
    <w:name w:val="List Number 2"/>
    <w:basedOn w:val="Normal"/>
    <w:rsid w:val="005056A7"/>
    <w:pPr>
      <w:numPr>
        <w:numId w:val="7"/>
      </w:numPr>
    </w:pPr>
  </w:style>
  <w:style w:type="paragraph" w:styleId="Numerada3">
    <w:name w:val="List Number 3"/>
    <w:basedOn w:val="Normal"/>
    <w:rsid w:val="005056A7"/>
    <w:pPr>
      <w:numPr>
        <w:numId w:val="8"/>
      </w:numPr>
    </w:pPr>
  </w:style>
  <w:style w:type="paragraph" w:styleId="Numerada4">
    <w:name w:val="List Number 4"/>
    <w:basedOn w:val="Normal"/>
    <w:rsid w:val="005056A7"/>
    <w:pPr>
      <w:numPr>
        <w:numId w:val="9"/>
      </w:numPr>
    </w:pPr>
  </w:style>
  <w:style w:type="paragraph" w:styleId="Numerada5">
    <w:name w:val="List Number 5"/>
    <w:basedOn w:val="Normal"/>
    <w:rsid w:val="005056A7"/>
    <w:pPr>
      <w:numPr>
        <w:numId w:val="10"/>
      </w:numPr>
    </w:pPr>
  </w:style>
  <w:style w:type="paragraph" w:styleId="Textodemacro">
    <w:name w:val="macro"/>
    <w:semiHidden/>
    <w:rsid w:val="005056A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napToGrid w:val="0"/>
    </w:rPr>
  </w:style>
  <w:style w:type="paragraph" w:styleId="Cabealhodamensagem">
    <w:name w:val="Message Header"/>
    <w:basedOn w:val="Normal"/>
    <w:rsid w:val="005056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5056A7"/>
    <w:rPr>
      <w:sz w:val="24"/>
      <w:szCs w:val="24"/>
    </w:rPr>
  </w:style>
  <w:style w:type="paragraph" w:styleId="Recuonormal">
    <w:name w:val="Normal Indent"/>
    <w:basedOn w:val="Normal"/>
    <w:rsid w:val="005056A7"/>
    <w:pPr>
      <w:ind w:left="720"/>
    </w:pPr>
  </w:style>
  <w:style w:type="paragraph" w:styleId="Ttulodanota">
    <w:name w:val="Note Heading"/>
    <w:basedOn w:val="Normal"/>
    <w:next w:val="Normal"/>
    <w:rsid w:val="005056A7"/>
  </w:style>
  <w:style w:type="paragraph" w:styleId="TextosemFormatao">
    <w:name w:val="Plain Text"/>
    <w:basedOn w:val="Normal"/>
    <w:rsid w:val="005056A7"/>
    <w:rPr>
      <w:rFonts w:ascii="Courier New" w:hAnsi="Courier New" w:cs="Courier New"/>
    </w:rPr>
  </w:style>
  <w:style w:type="paragraph" w:styleId="Saudao">
    <w:name w:val="Salutation"/>
    <w:basedOn w:val="Normal"/>
    <w:next w:val="Normal"/>
    <w:rsid w:val="005056A7"/>
  </w:style>
  <w:style w:type="paragraph" w:styleId="Assinatura">
    <w:name w:val="Signature"/>
    <w:basedOn w:val="Normal"/>
    <w:rsid w:val="005056A7"/>
    <w:pPr>
      <w:ind w:left="4320"/>
    </w:pPr>
  </w:style>
  <w:style w:type="paragraph" w:styleId="Subttulo">
    <w:name w:val="Subtitle"/>
    <w:basedOn w:val="Normal"/>
    <w:qFormat/>
    <w:rsid w:val="005056A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ndicedeautoridades">
    <w:name w:val="table of authorities"/>
    <w:basedOn w:val="Normal"/>
    <w:next w:val="Normal"/>
    <w:semiHidden/>
    <w:rsid w:val="005056A7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5056A7"/>
    <w:pPr>
      <w:ind w:left="400" w:hanging="400"/>
    </w:pPr>
  </w:style>
  <w:style w:type="paragraph" w:styleId="Ttulo">
    <w:name w:val="Title"/>
    <w:basedOn w:val="Normal"/>
    <w:qFormat/>
    <w:rsid w:val="005056A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deautoridades">
    <w:name w:val="toa heading"/>
    <w:basedOn w:val="Normal"/>
    <w:next w:val="Normal"/>
    <w:semiHidden/>
    <w:rsid w:val="005056A7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Sumrio1">
    <w:name w:val="toc 1"/>
    <w:basedOn w:val="Normal"/>
    <w:next w:val="Normal"/>
    <w:autoRedefine/>
    <w:semiHidden/>
    <w:rsid w:val="005056A7"/>
  </w:style>
  <w:style w:type="paragraph" w:styleId="Sumrio2">
    <w:name w:val="toc 2"/>
    <w:basedOn w:val="Normal"/>
    <w:next w:val="Normal"/>
    <w:autoRedefine/>
    <w:semiHidden/>
    <w:rsid w:val="005056A7"/>
    <w:pPr>
      <w:ind w:left="200"/>
    </w:pPr>
  </w:style>
  <w:style w:type="paragraph" w:styleId="Sumrio3">
    <w:name w:val="toc 3"/>
    <w:basedOn w:val="Normal"/>
    <w:next w:val="Normal"/>
    <w:autoRedefine/>
    <w:semiHidden/>
    <w:rsid w:val="005056A7"/>
    <w:pPr>
      <w:ind w:left="400"/>
    </w:pPr>
  </w:style>
  <w:style w:type="paragraph" w:styleId="Sumrio4">
    <w:name w:val="toc 4"/>
    <w:basedOn w:val="Normal"/>
    <w:next w:val="Normal"/>
    <w:autoRedefine/>
    <w:semiHidden/>
    <w:rsid w:val="005056A7"/>
    <w:pPr>
      <w:ind w:left="600"/>
    </w:pPr>
  </w:style>
  <w:style w:type="paragraph" w:styleId="Sumrio5">
    <w:name w:val="toc 5"/>
    <w:basedOn w:val="Normal"/>
    <w:next w:val="Normal"/>
    <w:autoRedefine/>
    <w:semiHidden/>
    <w:rsid w:val="005056A7"/>
    <w:pPr>
      <w:ind w:left="800"/>
    </w:pPr>
  </w:style>
  <w:style w:type="paragraph" w:styleId="Sumrio6">
    <w:name w:val="toc 6"/>
    <w:basedOn w:val="Normal"/>
    <w:next w:val="Normal"/>
    <w:autoRedefine/>
    <w:semiHidden/>
    <w:rsid w:val="005056A7"/>
    <w:pPr>
      <w:ind w:left="1000"/>
    </w:pPr>
  </w:style>
  <w:style w:type="paragraph" w:styleId="Sumrio7">
    <w:name w:val="toc 7"/>
    <w:basedOn w:val="Normal"/>
    <w:next w:val="Normal"/>
    <w:autoRedefine/>
    <w:semiHidden/>
    <w:rsid w:val="005056A7"/>
    <w:pPr>
      <w:ind w:left="1200"/>
    </w:pPr>
  </w:style>
  <w:style w:type="paragraph" w:styleId="Sumrio8">
    <w:name w:val="toc 8"/>
    <w:basedOn w:val="Normal"/>
    <w:next w:val="Normal"/>
    <w:autoRedefine/>
    <w:semiHidden/>
    <w:rsid w:val="005056A7"/>
    <w:pPr>
      <w:ind w:left="1400"/>
    </w:pPr>
  </w:style>
  <w:style w:type="paragraph" w:styleId="Sumrio9">
    <w:name w:val="toc 9"/>
    <w:basedOn w:val="Normal"/>
    <w:next w:val="Normal"/>
    <w:autoRedefine/>
    <w:semiHidden/>
    <w:rsid w:val="005056A7"/>
    <w:pPr>
      <w:ind w:left="1600"/>
    </w:pPr>
  </w:style>
  <w:style w:type="character" w:styleId="HiperlinkVisitado">
    <w:name w:val="FollowedHyperlink"/>
    <w:rsid w:val="005056A7"/>
    <w:rPr>
      <w:color w:val="800080"/>
      <w:u w:val="single"/>
    </w:rPr>
  </w:style>
  <w:style w:type="paragraph" w:styleId="Textodebalo">
    <w:name w:val="Balloon Text"/>
    <w:basedOn w:val="Normal"/>
    <w:semiHidden/>
    <w:rsid w:val="00B45AA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D64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"/>
    <w:next w:val="Normal"/>
    <w:uiPriority w:val="37"/>
    <w:unhideWhenUsed/>
    <w:rsid w:val="00D642BA"/>
  </w:style>
  <w:style w:type="character" w:styleId="TextodoEspaoReservado">
    <w:name w:val="Placeholder Text"/>
    <w:basedOn w:val="Fontepargpadro"/>
    <w:uiPriority w:val="99"/>
    <w:semiHidden/>
    <w:rsid w:val="00676032"/>
    <w:rPr>
      <w:color w:val="808080"/>
    </w:rPr>
  </w:style>
  <w:style w:type="character" w:styleId="nfase">
    <w:name w:val="Emphasis"/>
    <w:basedOn w:val="Fontepargpadro"/>
    <w:qFormat/>
    <w:rsid w:val="001039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4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Macro-Enabled_Worksheet.xlsm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>
  <b:Source>
    <b:Tag>Ble01</b:Tag>
    <b:SourceType>Book</b:SourceType>
    <b:Guid>{9A3624FF-9EEC-4B17-8E7D-F6C59361B687}</b:Guid>
    <b:Author>
      <b:Author>
        <b:NameList>
          <b:Person>
            <b:Last>Blevins</b:Last>
            <b:First>R.</b:First>
          </b:Person>
        </b:NameList>
      </b:Author>
    </b:Author>
    <b:Title>Flow-Induced Vibrations</b:Title>
    <b:Year>2001</b:Year>
    <b:Publisher>Krieger</b:Publisher>
    <b:RefOrder>1</b:RefOrder>
  </b:Source>
  <b:Source>
    <b:Tag>Zdr03</b:Tag>
    <b:SourceType>Book</b:SourceType>
    <b:Guid>{030BAC06-E1C5-4616-BA7C-CF1EE5484B28}</b:Guid>
    <b:Author>
      <b:Author>
        <b:NameList>
          <b:Person>
            <b:Last>Zdravkovich</b:Last>
            <b:First>M.</b:First>
            <b:Middle>M.</b:Middle>
          </b:Person>
        </b:NameList>
      </b:Author>
    </b:Author>
    <b:Title>Flow around circular cylinders Vol. 1: Fundamentals</b:Title>
    <b:Year>2003</b:Year>
    <b:Publisher>Oxford University Press</b:Publisher>
    <b:RefOrder>2</b:RefOrder>
  </b:Source>
  <b:Source>
    <b:Tag>Nor03</b:Tag>
    <b:SourceType>JournalArticle</b:SourceType>
    <b:Guid>{729D3C9A-A720-4741-8B83-CA7CE74906E2}</b:Guid>
    <b:Author>
      <b:Author>
        <b:NameList>
          <b:Person>
            <b:Last>Norberg</b:Last>
            <b:First>C.</b:First>
          </b:Person>
        </b:NameList>
      </b:Author>
    </b:Author>
    <b:Title>Fluctuating lift on a circular cylinder: review and new measurements</b:Title>
    <b:Year>2003</b:Year>
    <b:JournalName>Journal of Fluids and Structures</b:JournalName>
    <b:Pages>57-96</b:Pages>
    <b:RefOrder>3</b:RefOrder>
  </b:Source>
  <b:Source>
    <b:Tag>Ram83</b:Tag>
    <b:SourceType>JournalArticle</b:SourceType>
    <b:Guid>{63988110-B838-4DC9-A097-22A9118B3D9C}</b:Guid>
    <b:Author>
      <b:Author>
        <b:NameList>
          <b:Person>
            <b:Last>Ramberg</b:Last>
            <b:First>S.</b:First>
            <b:Middle>E.</b:Middle>
          </b:Person>
        </b:NameList>
      </b:Author>
    </b:Author>
    <b:Title>The effects of yaw and finite length upon vortex wakes of stationary and vibrating circular cylinders</b:Title>
    <b:JournalName>Journal of Fluids Mechanics</b:JournalName>
    <b:Year>1983</b:Year>
    <b:Pages>81-107</b:Pages>
    <b:RefOrder>7</b:RefOrder>
  </b:Source>
  <b:Source>
    <b:Tag>Bea84</b:Tag>
    <b:SourceType>JournalArticle</b:SourceType>
    <b:Guid>{8C895532-ECFD-40B2-B9F2-12F017347CE5}</b:Guid>
    <b:Author>
      <b:Author>
        <b:NameList>
          <b:Person>
            <b:Last>Bearman</b:Last>
            <b:First>P.</b:First>
            <b:Middle>W.</b:Middle>
          </b:Person>
        </b:NameList>
      </b:Author>
    </b:Author>
    <b:Title>Vortex shedding from oscillating bluff bodies</b:Title>
    <b:JournalName>Annual review of fluids mechanics</b:JournalName>
    <b:Year>1984</b:Year>
    <b:Pages>195-222</b:Pages>
    <b:RefOrder>19</b:RefOrder>
  </b:Source>
  <b:Source>
    <b:Tag>Mar03</b:Tag>
    <b:SourceType>JournalArticle</b:SourceType>
    <b:Guid>{4216F75D-BFDB-44BA-A2E0-CB8E2790270E}</b:Guid>
    <b:Author>
      <b:Author>
        <b:NameList>
          <b:Person>
            <b:Last>Marshall</b:Last>
            <b:First>J.</b:First>
            <b:Middle>S.</b:Middle>
          </b:Person>
        </b:NameList>
      </b:Author>
    </b:Author>
    <b:Title>Wake dynamics of yawed cylinder</b:Title>
    <b:Year>2003</b:Year>
    <b:JournalName>Journal of Fluids Engineering</b:JournalName>
    <b:Pages>97-103</b:Pages>
    <b:RefOrder>5</b:RefOrder>
  </b:Source>
  <b:Source>
    <b:Tag>Sea48</b:Tag>
    <b:SourceType>JournalArticle</b:SourceType>
    <b:Guid>{06250EB7-334A-4BCD-9DD6-CB0531966DF2}</b:Guid>
    <b:Author>
      <b:Author>
        <b:NameList>
          <b:Person>
            <b:Last>Sears</b:Last>
            <b:First>W.</b:First>
            <b:Middle>R.</b:Middle>
          </b:Person>
        </b:NameList>
      </b:Author>
    </b:Author>
    <b:Title>The Boundary Layer of Yawed Cylinders</b:Title>
    <b:JournalName>Journal of Aeronautical Sciences</b:JournalName>
    <b:Year>1948</b:Year>
    <b:Pages>49-52</b:Pages>
    <b:RefOrder>4</b:RefOrder>
  </b:Source>
  <b:Source>
    <b:Tag>Sna04</b:Tag>
    <b:SourceType>JournalArticle</b:SourceType>
    <b:Guid>{7BD7A3A2-5AE0-4851-B6C8-87F90D12D430}</b:Guid>
    <b:Author>
      <b:Author>
        <b:NameList>
          <b:Person>
            <b:Last>Snarski</b:Last>
            <b:First>S.</b:First>
            <b:Middle>R.</b:Middle>
          </b:Person>
        </b:NameList>
      </b:Author>
    </b:Author>
    <b:Title>Flow over yawed circular cylinders: Wall pressure spectra and flow regimes</b:Title>
    <b:JournalName>Physics of Fluids</b:JournalName>
    <b:Year>2004</b:Year>
    <b:Pages>344-359</b:Pages>
    <b:RefOrder>9</b:RefOrder>
  </b:Source>
  <b:Source>
    <b:Tag>van68</b:Tag>
    <b:SourceType>JournalArticle</b:SourceType>
    <b:Guid>{2FBDC1EB-B400-48DC-8A0E-8D697FF0E919}</b:Guid>
    <b:Author>
      <b:Author>
        <b:NameList>
          <b:Person>
            <b:Last>van Atta</b:Last>
            <b:First>C.</b:First>
            <b:Middle>W.</b:Middle>
          </b:Person>
        </b:NameList>
      </b:Author>
    </b:Author>
    <b:Title>Experiments on Vortex Shedding from Yawed Circular Cylinders</b:Title>
    <b:Pages>931-933</b:Pages>
    <b:Year>1968</b:Year>
    <b:JournalName>Technical notes AIAA Journal</b:JournalName>
    <b:RefOrder>13</b:RefOrder>
  </b:Source>
  <b:Source>
    <b:Tag>Han66</b:Tag>
    <b:SourceType>JournalArticle</b:SourceType>
    <b:Guid>{1255B605-D517-469D-A695-848E032E67FB}</b:Guid>
    <b:Author>
      <b:Author>
        <b:NameList>
          <b:Person>
            <b:Last>Hanson</b:Last>
            <b:First>A.</b:First>
            <b:Middle>R.</b:Middle>
          </b:Person>
        </b:NameList>
      </b:Author>
    </b:Author>
    <b:Title>Vortex Shedding from Yawed Cylinders</b:Title>
    <b:JournalName>Technical notes AIAA Journal</b:JournalName>
    <b:Year>1966</b:Year>
    <b:Pages>738-740</b:Pages>
    <b:RefOrder>12</b:RefOrder>
  </b:Source>
  <b:Source>
    <b:Tag>Suh11</b:Tag>
    <b:SourceType>JournalArticle</b:SourceType>
    <b:Guid>{1E6668E6-A35C-4D9C-9CCA-0D90E121650B}</b:Guid>
    <b:Author>
      <b:Author>
        <b:NameList>
          <b:Person>
            <b:Last>Suh</b:Last>
            <b:First>J.</b:First>
          </b:Person>
          <b:Person>
            <b:Last>Yang</b:Last>
            <b:First>,</b:First>
            <b:Middle>J.</b:Middle>
          </b:Person>
          <b:Person>
            <b:Last>Stern</b:Last>
            <b:First>F.</b:First>
          </b:Person>
        </b:NameList>
      </b:Author>
    </b:Author>
    <b:Title>The effect of air-water interface on the vortex shedding from a vertical circular cylinder</b:Title>
    <b:Pages>1-22</b:Pages>
    <b:Year>2011</b:Year>
    <b:JournalName>Journal of Fluids and Structures</b:JournalName>
    <b:RefOrder>15</b:RefOrder>
  </b:Source>
  <b:Source>
    <b:Tag>Wil10</b:Tag>
    <b:SourceType>ConferenceProceedings</b:SourceType>
    <b:Guid>{F8DC3307-AE4F-4E33-BF74-176252884EB1}</b:Guid>
    <b:Author>
      <b:Author>
        <b:NameList>
          <b:Person>
            <b:Last>Willden</b:Last>
            <b:First>R.</b:First>
            <b:Middle>H. J.</b:Middle>
          </b:Person>
          <b:Person>
            <b:Last>Guerbi</b:Last>
            <b:First>M.</b:First>
          </b:Person>
        </b:NameList>
      </b:Author>
    </b:Author>
    <b:Title>Vortex Dynamics of Stationary and Oscillating Cylinders in Yawed Flow</b:Title>
    <b:Year>2010</b:Year>
    <b:ConferenceName>IUTAM Symposium on Bluff Bodies Wakes and Vortex-Induced Vibrations - BBVIV6</b:ConferenceName>
    <b:City>Anacapri, Italy</b:City>
    <b:RefOrder>11</b:RefOrder>
  </b:Source>
  <b:Source>
    <b:Tag>Ass05</b:Tag>
    <b:SourceType>ConferenceProceedings</b:SourceType>
    <b:Guid>{A0C9C33E-CD62-438D-9FBF-CD36180CC841}</b:Guid>
    <b:Author>
      <b:Author>
        <b:NameList>
          <b:Person>
            <b:Last>Assi</b:Last>
            <b:First>G.</b:First>
            <b:Middle>R. S.</b:Middle>
          </b:Person>
          <b:Person>
            <b:Last>Meneghini</b:Last>
            <b:First>J.</b:First>
            <b:Middle>R.</b:Middle>
          </b:Person>
          <b:Person>
            <b:Last>Aranha</b:Last>
            <b:First>J.</b:First>
            <b:Middle>A. P.</b:Middle>
          </b:Person>
          <b:Person>
            <b:Last>Coleto</b:Last>
            <b:First>W.</b:First>
            <b:Middle>G. P.</b:Middle>
          </b:Person>
        </b:NameList>
      </b:Author>
    </b:Author>
    <b:Title>Design, Assembling and Verification of a Circulating Water Channel Facility for Fluid Dynamics Experiments</b:Title>
    <b:Year>2005</b:Year>
    <b:ConferenceName>Proceedings of COBEM05 - 18th International Congress of Mechanical Engineering</b:ConferenceName>
    <b:RefOrder>17</b:RefOrder>
  </b:Source>
  <b:Source>
    <b:Tag>Luc03</b:Tag>
    <b:SourceType>JournalArticle</b:SourceType>
    <b:Guid>{6C35E352-39BC-4CA8-975E-D1DF116F44F7}</b:Guid>
    <b:Author>
      <b:Author>
        <b:NameList>
          <b:Person>
            <b:Last>Lucor</b:Last>
            <b:First>D.</b:First>
          </b:Person>
          <b:Person>
            <b:Last>Karniadakis</b:Last>
            <b:First>G.</b:First>
            <b:Middle>E.</b:Middle>
          </b:Person>
        </b:NameList>
      </b:Author>
    </b:Author>
    <b:Title>Effects of Oblique Inflow in Vortex-Induced Vibrations</b:Title>
    <b:JournalName>Flow, Turbulence and Combustion</b:JournalName>
    <b:Year>2003</b:Year>
    <b:Pages>375-389</b:Pages>
    <b:RefOrder>10</b:RefOrder>
  </b:Source>
  <b:Source>
    <b:Tag>Vla08</b:Tag>
    <b:SourceType>JournalArticle</b:SourceType>
    <b:Guid>{2F88F4E2-E894-4650-8B02-D3142A8E23E5}</b:Guid>
    <b:Author>
      <b:Author>
        <b:NameList>
          <b:Person>
            <b:Last>Vlachos</b:Last>
            <b:First>P.</b:First>
            <b:Middle>P.</b:Middle>
          </b:Person>
          <b:Person>
            <b:Last>Telionis</b:Last>
            <b:First>D.</b:First>
            <b:Middle>P.</b:Middle>
          </b:Person>
        </b:NameList>
      </b:Author>
    </b:Author>
    <b:Title>The effect of free surface on the vortex shedding from inclined circular cylinders</b:Title>
    <b:JournalName>Journal of Fluids Engineering</b:JournalName>
    <b:Year>2008</b:Year>
    <b:Pages>021103-1 - 021103-9</b:Pages>
    <b:RefOrder>16</b:RefOrder>
  </b:Source>
  <b:Source>
    <b:Tag>Tha04</b:Tag>
    <b:SourceType>JournalArticle</b:SourceType>
    <b:Guid>{69E97A3F-46F6-4A56-99DF-21E05B827CFE}</b:Guid>
    <b:Author>
      <b:Author>
        <b:NameList>
          <b:Person>
            <b:Last>Thakur</b:Last>
            <b:First>A.</b:First>
          </b:Person>
          <b:Person>
            <b:Last>Liu</b:Last>
            <b:First>X.</b:First>
          </b:Person>
          <b:Person>
            <b:Last>Marshall</b:Last>
            <b:First>J.</b:First>
            <b:Middle>S.</b:Middle>
          </b:Person>
        </b:NameList>
      </b:Author>
    </b:Author>
    <b:Title>Wake Flow of Single and Multiple Yawed Cylinders</b:Title>
    <b:JournalName>Journal of Fluids Engineering</b:JournalName>
    <b:Year>2004</b:Year>
    <b:Pages>861-870</b:Pages>
    <b:RefOrder>6</b:RefOrder>
  </b:Source>
  <b:Source>
    <b:Tag>Koz95</b:Tag>
    <b:SourceType>ConferenceProceedings</b:SourceType>
    <b:Guid>{07E7F45E-0895-4C83-9C03-E94A4BBABFFA}</b:Guid>
    <b:Author>
      <b:Author>
        <b:NameList>
          <b:Person>
            <b:Last>Kozakiewicz</b:Last>
            <b:First>A.</b:First>
          </b:Person>
          <b:Person>
            <b:Last>Fredsoe</b:Last>
            <b:First>J.</b:First>
          </b:Person>
          <b:Person>
            <b:Last>Sumer</b:Last>
            <b:First>B.</b:First>
            <b:Middle>M.</b:Middle>
          </b:Person>
        </b:NameList>
      </b:Author>
    </b:Author>
    <b:Title>Forces on Pipelines in Oblique Attack: Steady Current and Waves</b:Title>
    <b:Year>1995</b:Year>
    <b:ConferenceName>Proceedings of the Fifth (1995) International Offshore and Polar Engineering Conference</b:ConferenceName>
    <b:RefOrder>14</b:RefOrder>
  </b:Source>
  <b:Source>
    <b:Tag>Zho09</b:Tag>
    <b:SourceType>JournalArticle</b:SourceType>
    <b:Guid>{EC9453FE-224C-4BDE-85A7-C3C635FD2C5C}</b:Guid>
    <b:Author>
      <b:Author>
        <b:NameList>
          <b:Person>
            <b:Last>Zhou</b:Last>
            <b:First>T.</b:First>
          </b:Person>
          <b:Person>
            <b:Last>Razali</b:Last>
            <b:First>S.</b:First>
            <b:Middle>F. M.</b:Middle>
          </b:Person>
          <b:Person>
            <b:Last>Zhou</b:Last>
            <b:First>Y.</b:First>
          </b:Person>
          <b:Person>
            <b:Last>Chua</b:Last>
            <b:First>L.</b:First>
            <b:Middle>P.</b:Middle>
          </b:Person>
          <b:Person>
            <b:Last>Cheng</b:Last>
            <b:First>L.</b:First>
          </b:Person>
        </b:NameList>
      </b:Author>
    </b:Author>
    <b:Title>Dependence of the wake on inclination of a stationary cylinder</b:Title>
    <b:JournalName>Experiments in Fluids</b:JournalName>
    <b:Year>2009</b:Year>
    <b:Pages>1125-1138</b:Pages>
    <b:RefOrder>8</b:RefOrder>
  </b:Source>
  <b:Source>
    <b:Tag>Zha09</b:Tag>
    <b:SourceType>JournalArticle</b:SourceType>
    <b:Guid>{258F6A85-6068-48CD-A980-925785D2F575}</b:Guid>
    <b:Author>
      <b:Author>
        <b:NameList>
          <b:Person>
            <b:Last>Zhao</b:Last>
            <b:First>M.</b:First>
          </b:Person>
          <b:Person>
            <b:Last>Cheng</b:Last>
            <b:First>L.</b:First>
          </b:Person>
          <b:Person>
            <b:Last>Tongming</b:Last>
            <b:First>L.</b:First>
          </b:Person>
        </b:NameList>
      </b:Author>
    </b:Author>
    <b:Title>Direct numerical simulation oft hree-dimensional flow past a yawed circular cylinder of infinite length</b:Title>
    <b:Pages>831-847</b:Pages>
    <b:Year>2009</b:Year>
    <b:JournalName>Journal of Fluids and Structures</b:JournalName>
    <b:RefOrder>18</b:RefOrder>
  </b:Source>
</b:Sources>
</file>

<file path=customXml/itemProps1.xml><?xml version="1.0" encoding="utf-8"?>
<ds:datastoreItem xmlns:ds="http://schemas.openxmlformats.org/officeDocument/2006/customXml" ds:itemID="{F7155C75-64C1-4FA8-9277-821CABD82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3</Pages>
  <Words>1190</Words>
  <Characters>6430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Proceedings Template - WORD</vt:lpstr>
      <vt:lpstr>Proceedings Template - WORD</vt:lpstr>
    </vt:vector>
  </TitlesOfParts>
  <Company>Colorado School of Mines</Company>
  <LinksUpToDate>false</LinksUpToDate>
  <CharactersWithSpaces>7605</CharactersWithSpaces>
  <SharedDoc>false</SharedDoc>
  <HLinks>
    <vt:vector size="66" baseType="variant">
      <vt:variant>
        <vt:i4>5767291</vt:i4>
      </vt:variant>
      <vt:variant>
        <vt:i4>63</vt:i4>
      </vt:variant>
      <vt:variant>
        <vt:i4>0</vt:i4>
      </vt:variant>
      <vt:variant>
        <vt:i4>5</vt:i4>
      </vt:variant>
      <vt:variant>
        <vt:lpwstr>mailto:isope-2@isope.org</vt:lpwstr>
      </vt:variant>
      <vt:variant>
        <vt:lpwstr/>
      </vt:variant>
      <vt:variant>
        <vt:i4>5767291</vt:i4>
      </vt:variant>
      <vt:variant>
        <vt:i4>60</vt:i4>
      </vt:variant>
      <vt:variant>
        <vt:i4>0</vt:i4>
      </vt:variant>
      <vt:variant>
        <vt:i4>5</vt:i4>
      </vt:variant>
      <vt:variant>
        <vt:lpwstr>mailto:isope-2@isope.org</vt:lpwstr>
      </vt:variant>
      <vt:variant>
        <vt:lpwstr/>
      </vt:variant>
      <vt:variant>
        <vt:i4>5767291</vt:i4>
      </vt:variant>
      <vt:variant>
        <vt:i4>57</vt:i4>
      </vt:variant>
      <vt:variant>
        <vt:i4>0</vt:i4>
      </vt:variant>
      <vt:variant>
        <vt:i4>5</vt:i4>
      </vt:variant>
      <vt:variant>
        <vt:lpwstr>mailto:isope-2@isope.org</vt:lpwstr>
      </vt:variant>
      <vt:variant>
        <vt:lpwstr/>
      </vt:variant>
      <vt:variant>
        <vt:i4>6029412</vt:i4>
      </vt:variant>
      <vt:variant>
        <vt:i4>54</vt:i4>
      </vt:variant>
      <vt:variant>
        <vt:i4>0</vt:i4>
      </vt:variant>
      <vt:variant>
        <vt:i4>5</vt:i4>
      </vt:variant>
      <vt:variant>
        <vt:lpwstr>mailto:isope-5@sbcglobal.net</vt:lpwstr>
      </vt:variant>
      <vt:variant>
        <vt:lpwstr/>
      </vt:variant>
      <vt:variant>
        <vt:i4>6226043</vt:i4>
      </vt:variant>
      <vt:variant>
        <vt:i4>51</vt:i4>
      </vt:variant>
      <vt:variant>
        <vt:i4>0</vt:i4>
      </vt:variant>
      <vt:variant>
        <vt:i4>5</vt:i4>
      </vt:variant>
      <vt:variant>
        <vt:lpwstr>mailto:isope-5@isope.org</vt:lpwstr>
      </vt:variant>
      <vt:variant>
        <vt:lpwstr/>
      </vt:variant>
      <vt:variant>
        <vt:i4>6750226</vt:i4>
      </vt:variant>
      <vt:variant>
        <vt:i4>48</vt:i4>
      </vt:variant>
      <vt:variant>
        <vt:i4>0</vt:i4>
      </vt:variant>
      <vt:variant>
        <vt:i4>5</vt:i4>
      </vt:variant>
      <vt:variant>
        <vt:lpwstr>mailto:isope@ttia.com:</vt:lpwstr>
      </vt:variant>
      <vt:variant>
        <vt:lpwstr/>
      </vt:variant>
      <vt:variant>
        <vt:i4>5767291</vt:i4>
      </vt:variant>
      <vt:variant>
        <vt:i4>45</vt:i4>
      </vt:variant>
      <vt:variant>
        <vt:i4>0</vt:i4>
      </vt:variant>
      <vt:variant>
        <vt:i4>5</vt:i4>
      </vt:variant>
      <vt:variant>
        <vt:lpwstr>mailto:isope-2@isope.org</vt:lpwstr>
      </vt:variant>
      <vt:variant>
        <vt:lpwstr/>
      </vt:variant>
      <vt:variant>
        <vt:i4>6029412</vt:i4>
      </vt:variant>
      <vt:variant>
        <vt:i4>42</vt:i4>
      </vt:variant>
      <vt:variant>
        <vt:i4>0</vt:i4>
      </vt:variant>
      <vt:variant>
        <vt:i4>5</vt:i4>
      </vt:variant>
      <vt:variant>
        <vt:lpwstr>mailto:isope-5@sbcglobal.net</vt:lpwstr>
      </vt:variant>
      <vt:variant>
        <vt:lpwstr/>
      </vt:variant>
      <vt:variant>
        <vt:i4>6226043</vt:i4>
      </vt:variant>
      <vt:variant>
        <vt:i4>39</vt:i4>
      </vt:variant>
      <vt:variant>
        <vt:i4>0</vt:i4>
      </vt:variant>
      <vt:variant>
        <vt:i4>5</vt:i4>
      </vt:variant>
      <vt:variant>
        <vt:lpwstr>mailto:isope-5@isope.org</vt:lpwstr>
      </vt:variant>
      <vt:variant>
        <vt:lpwstr/>
      </vt:variant>
      <vt:variant>
        <vt:i4>6750226</vt:i4>
      </vt:variant>
      <vt:variant>
        <vt:i4>36</vt:i4>
      </vt:variant>
      <vt:variant>
        <vt:i4>0</vt:i4>
      </vt:variant>
      <vt:variant>
        <vt:i4>5</vt:i4>
      </vt:variant>
      <vt:variant>
        <vt:lpwstr>mailto:isope@ttia.com:</vt:lpwstr>
      </vt:variant>
      <vt:variant>
        <vt:lpwstr/>
      </vt:variant>
      <vt:variant>
        <vt:i4>6750226</vt:i4>
      </vt:variant>
      <vt:variant>
        <vt:i4>33</vt:i4>
      </vt:variant>
      <vt:variant>
        <vt:i4>0</vt:i4>
      </vt:variant>
      <vt:variant>
        <vt:i4>5</vt:i4>
      </vt:variant>
      <vt:variant>
        <vt:lpwstr>mailto:isope@ttia.com: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Proceedings Template - WORD</dc:title>
  <dc:creator>Michael A. DeLucia</dc:creator>
  <cp:lastModifiedBy>Carlos Oliveira - KNIJNIK</cp:lastModifiedBy>
  <cp:revision>23</cp:revision>
  <cp:lastPrinted>2011-11-25T14:19:00Z</cp:lastPrinted>
  <dcterms:created xsi:type="dcterms:W3CDTF">2017-05-07T00:18:00Z</dcterms:created>
  <dcterms:modified xsi:type="dcterms:W3CDTF">2017-05-15T23:28:00Z</dcterms:modified>
</cp:coreProperties>
</file>