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ATA DE REUNIÃO EXTRAORDINÁRIA DO COLEGIADO DE 04.10.2007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Horário: 18h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Local: São Paulo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PARTICIPANTES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MARIA HELENA DOS SANTOS FERNANDES DE SANTANA- PRESIDENTE 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DURVAL JOSÉ SOLEDADE SANTOS - DIRETOR* 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ELI LORIA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DIRETOR 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MARCOS BARBOSA PINTO - DIRETOR </w:t>
      </w:r>
    </w:p>
    <w:p>
      <w:pPr>
        <w:numPr>
          <w:ilvl w:val="0"/>
          <w:numId w:val="3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SERGIO EDUARDO WEGUELIN VIEIRA - DIRETOR*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*por estarem no Rio de Janeiro, participaram da discussão por telefone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PRESENTES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Aline de Menezes Santos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Superintendente de Desenvolvimento de Mercado* 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Carlos Alberto Rebello Sobrinho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-Superintendente de Registro de Valores Mobiliários*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Maria Luisa Azevedo Wernesbach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Gerente de Registros 1 em exercício* </w:t>
      </w:r>
    </w:p>
    <w:p>
      <w:pPr>
        <w:numPr>
          <w:ilvl w:val="0"/>
          <w:numId w:val="5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Juliana Paiva Guimarães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Coordenadora*</w:t>
        <w:br/>
        <w:t xml:space="preserve">*por estarem no Rio de Janeiro, participaram da discussão por telefone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RECURSO CONTRA DECISÃO DA SRE - REGISTRO DE OPA POR ALIENAÇÃO INDIRETA DE CONTROLE – COMPANHIA BRASILEIRA DE PETRÓLEO IPIRANGA - PROC. RJ2007/11573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Reg. nº 5612/07</w:t>
      </w:r>
    </w:p>
    <w:p>
      <w:pPr>
        <w:spacing w:before="100" w:after="10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Trata-se de recurso interposto por acionistas titulares de ações preferenciais da Refinaria de Petróleo Ipiranga S.A. ("RPI"), Distribuidora de Produtos de Petróleo Ipiranga S.A. ("DPPI") e Companhia Brasileira de Petróleo Ipiranga ("CBPI") contra entendimento manifestado pela Superintendência de Registros no MEMO/SRE/GER-1/N° 291/207, em especial no que se refere ao laudo de avaliação das companhias. Os Recorrentes solicitam que a CVM: </w:t>
      </w:r>
    </w:p>
    <w:p>
      <w:pPr>
        <w:tabs>
          <w:tab w:val="left" w:pos="720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relação às OPA de RPI e DPPI, determine a revisão do laudo de forma que seja incluído valor revisado de CBPI ou, alternativamente, que seja informado que não houve por parte da CVM revisão de tal ponto; </w:t>
      </w:r>
    </w:p>
    <w:p>
      <w:pPr>
        <w:tabs>
          <w:tab w:val="left" w:pos="720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relação à OPA de CBPI, determine que o avaliador corrija erros técnicos constantes do laudo, alegados no recurso e, em seguida, determine a revisão do laudo de forma a que conste a correta referência de valor aplicável às companhias, ou, alternativamente, que seja incluída menção expressa ao fato de que tais questões não foram revisadas pela CVM; e </w:t>
      </w:r>
    </w:p>
    <w:p>
      <w:pPr>
        <w:tabs>
          <w:tab w:val="left" w:pos="720" w:leader="none"/>
        </w:tabs>
        <w:spacing w:before="100" w:after="10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relação a todas as OPA, que seja retirada do laudo menção à avaliação de Ultrapar ou, alternativamente, que seja inserida declaração no sentido de que o registro da OPA não representa qualquer entendimento da CVM relacionado ao resultado da avaliação de Ultrapar. </w:t>
      </w:r>
    </w:p>
    <w:p>
      <w:pPr>
        <w:spacing w:before="100" w:after="10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SRE manifestou-se sobre o recurso através do MEMO/SRE/GER-1/Nº 303/2007, posteriormente complementado pelo MEMO/SRE/GER-1/Nº 308/2007, elaborado para contemplar análise de esclarecimentos enviados pelo avaliador. </w:t>
      </w:r>
    </w:p>
    <w:p>
      <w:pPr>
        <w:spacing w:before="100" w:after="10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tais memorandos a SRE mantém seu entendimento, objeto do recurso, sob o fundamento de que (i) os Recorrentes não seriam partes legítimas para interpor recurso, uma vez que não são detentores de ações objeto das OPA; e (ii) em relação à avaliação da rede AM/PM e CBPI, os aspectos apontados pelos Recorrentes não corresponderiam a erros técnicos propriamente, dada a ausência de critério objetivo para sua caracterização. </w:t>
      </w:r>
    </w:p>
    <w:p>
      <w:pPr>
        <w:spacing w:before="100" w:after="10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Contudo, a SRE entendeu conveniente que seja determinado, além de ajustes finais em documentos que instruem a OPA (não relacionados ao presente recurso), elencados no MEMO/SRE/GER-1/Nº 308/2007, a inclusão, (i) no edital da OPA, de informação de que o laudo de avaliação da Ultrapar não foi objeto de análise por parte da CVM; e (ii) no laudo de avaliação, dos esclarecimentos prestados pelo avaliador para justificar a precificação da AM/PM, bem como dos gráficos e seus esclarecimentos, conforme manifestação por ele apresentada.</w:t>
      </w:r>
    </w:p>
    <w:p>
      <w:pPr>
        <w:spacing w:before="100" w:after="10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Diretor Marcos Barbosa Pinto apresentou voto e, após analisar as diferentes funções entre os laudos elaborados para fins de OPA e daqueles elaborados para fins de incorporação, a ilegitimidade dos Recorrentes em requerer alterações no laudo a ser utilizado na OPA e o nível de informações atingido para fins da OPA em análise, conclui pelo não provimento do recurso. O Diretor entendeu ainda que (i) devesse constar do edital da OPA a informação de que, para fins de registro da oferta, a análise da CVM não cobriu a avaliação de Ultrapar; (ii) o laudo de avaliação seja complementado pelos esclarecimentos prestados para justificar a avaliação em relação à rede AM/PM e CBPI Os demais membros do Colegiado acompanharam referido voto.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