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71" w:rsidRPr="00A53412" w:rsidRDefault="001D0871" w:rsidP="001D0871">
      <w:pPr>
        <w:spacing w:after="0" w:line="240" w:lineRule="auto"/>
        <w:jc w:val="center"/>
        <w:rPr>
          <w:rFonts w:asciiTheme="minorHAnsi" w:hAnsiTheme="minorHAnsi"/>
          <w:b/>
          <w:smallCaps/>
        </w:rPr>
      </w:pPr>
      <w:r w:rsidRPr="00A53412">
        <w:rPr>
          <w:rFonts w:asciiTheme="minorHAnsi" w:hAnsiTheme="minorHAnsi"/>
          <w:b/>
          <w:smallCaps/>
        </w:rPr>
        <w:t>Faculdade de Direito da Universidade de São Paulo</w:t>
      </w:r>
    </w:p>
    <w:p w:rsidR="001D0871" w:rsidRPr="00A53412" w:rsidRDefault="001D0871" w:rsidP="001D0871">
      <w:pPr>
        <w:spacing w:after="0" w:line="240" w:lineRule="auto"/>
        <w:jc w:val="center"/>
        <w:rPr>
          <w:rFonts w:asciiTheme="minorHAnsi" w:hAnsiTheme="minorHAnsi"/>
          <w:b/>
          <w:smallCaps/>
        </w:rPr>
      </w:pPr>
      <w:r w:rsidRPr="00A53412">
        <w:rPr>
          <w:rFonts w:asciiTheme="minorHAnsi" w:hAnsiTheme="minorHAnsi"/>
          <w:b/>
          <w:smallCaps/>
        </w:rPr>
        <w:t>Departamento de Direito Comercial</w:t>
      </w:r>
    </w:p>
    <w:p w:rsidR="001D0871" w:rsidRPr="00A53412" w:rsidRDefault="001D0871" w:rsidP="001D0871">
      <w:pPr>
        <w:spacing w:after="0" w:line="240" w:lineRule="auto"/>
        <w:jc w:val="center"/>
        <w:rPr>
          <w:rFonts w:asciiTheme="minorHAnsi" w:hAnsiTheme="minorHAnsi"/>
          <w:b/>
          <w:smallCaps/>
        </w:rPr>
      </w:pPr>
    </w:p>
    <w:p w:rsidR="001D0871" w:rsidRPr="00A53412" w:rsidRDefault="001D0871" w:rsidP="001D0871">
      <w:pPr>
        <w:spacing w:after="0" w:line="240" w:lineRule="auto"/>
        <w:jc w:val="center"/>
        <w:rPr>
          <w:rFonts w:asciiTheme="minorHAnsi" w:hAnsiTheme="minorHAnsi"/>
          <w:b/>
        </w:rPr>
      </w:pPr>
      <w:r w:rsidRPr="00A53412">
        <w:rPr>
          <w:rFonts w:asciiTheme="minorHAnsi" w:hAnsiTheme="minorHAnsi"/>
          <w:b/>
        </w:rPr>
        <w:t>Companhias Abertas e Mercado de Capitais (DCO0485)</w:t>
      </w:r>
    </w:p>
    <w:p w:rsidR="001D0871" w:rsidRDefault="001D0871" w:rsidP="001D087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Cs/>
          <w:color w:val="000000"/>
          <w:sz w:val="22"/>
        </w:rPr>
      </w:pPr>
    </w:p>
    <w:p w:rsidR="0040246C" w:rsidRPr="0040246C" w:rsidRDefault="0040246C" w:rsidP="0040246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00"/>
          <w:sz w:val="22"/>
        </w:rPr>
      </w:pPr>
      <w:r w:rsidRPr="0040246C">
        <w:rPr>
          <w:rFonts w:asciiTheme="minorHAnsi" w:hAnsiTheme="minorHAnsi"/>
          <w:b/>
          <w:bCs/>
          <w:color w:val="000000"/>
          <w:sz w:val="22"/>
        </w:rPr>
        <w:t>POISON PILLS</w:t>
      </w:r>
    </w:p>
    <w:p w:rsidR="00213F9F" w:rsidRDefault="001D0871" w:rsidP="005A70C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bCs/>
          <w:color w:val="000000"/>
          <w:sz w:val="22"/>
        </w:rPr>
      </w:pPr>
      <w:r w:rsidRPr="00A53412">
        <w:rPr>
          <w:rFonts w:asciiTheme="minorHAnsi" w:hAnsiTheme="minorHAnsi"/>
          <w:b/>
          <w:bCs/>
          <w:color w:val="000000"/>
          <w:sz w:val="22"/>
        </w:rPr>
        <w:t>Caso</w:t>
      </w:r>
    </w:p>
    <w:p w:rsidR="005A70C8" w:rsidRPr="005A70C8" w:rsidRDefault="005A70C8" w:rsidP="005A70C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sz w:val="22"/>
        </w:rPr>
      </w:pPr>
    </w:p>
    <w:p w:rsidR="001735F9" w:rsidRDefault="00213F9F" w:rsidP="00640ED0">
      <w:pPr>
        <w:spacing w:after="120" w:line="24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Com vistas a novas oportunidades no mercado, o bloco de controle da GVT, companhia tradicional do setor de telecomunicações, divulgou, em 19.08.09, fato relevante por meio do qual manifestou a intenção de realizar oferta pública secundária, numa tentativa de retirar seu investimento da companhia. Em seguida, aos 08.09.09, após tratativas com a Vivendi, companhia francesa de telecomunicações, a GVT divulgou novo fato relevante, cancelando o anterior, </w:t>
      </w:r>
      <w:r w:rsidR="004E3E84">
        <w:rPr>
          <w:rFonts w:asciiTheme="minorHAnsi" w:hAnsiTheme="minorHAnsi"/>
          <w:szCs w:val="24"/>
        </w:rPr>
        <w:t xml:space="preserve">e </w:t>
      </w:r>
      <w:r w:rsidR="001735F9" w:rsidRPr="001735F9">
        <w:rPr>
          <w:rFonts w:asciiTheme="minorHAnsi" w:hAnsiTheme="minorHAnsi"/>
          <w:szCs w:val="24"/>
        </w:rPr>
        <w:t xml:space="preserve">comunicando que seus controladores haviam assinado naquela data </w:t>
      </w:r>
      <w:r w:rsidR="001B08CB">
        <w:rPr>
          <w:rFonts w:asciiTheme="minorHAnsi" w:hAnsiTheme="minorHAnsi"/>
          <w:szCs w:val="24"/>
        </w:rPr>
        <w:t xml:space="preserve">um </w:t>
      </w:r>
      <w:r w:rsidR="001735F9" w:rsidRPr="001735F9">
        <w:rPr>
          <w:rFonts w:asciiTheme="minorHAnsi" w:hAnsiTheme="minorHAnsi"/>
          <w:szCs w:val="24"/>
        </w:rPr>
        <w:t>acordo com a Vivendi</w:t>
      </w:r>
      <w:r w:rsidR="001B08CB">
        <w:rPr>
          <w:rFonts w:asciiTheme="minorHAnsi" w:hAnsiTheme="minorHAnsi"/>
          <w:szCs w:val="24"/>
        </w:rPr>
        <w:t>,</w:t>
      </w:r>
      <w:r w:rsidR="001735F9" w:rsidRPr="001735F9">
        <w:rPr>
          <w:rFonts w:asciiTheme="minorHAnsi" w:hAnsiTheme="minorHAnsi"/>
          <w:szCs w:val="24"/>
        </w:rPr>
        <w:t xml:space="preserve"> </w:t>
      </w:r>
      <w:r w:rsidR="001B08CB">
        <w:rPr>
          <w:rFonts w:asciiTheme="minorHAnsi" w:hAnsiTheme="minorHAnsi"/>
          <w:szCs w:val="24"/>
        </w:rPr>
        <w:t xml:space="preserve">para que esta lançasse uma </w:t>
      </w:r>
      <w:r w:rsidR="001735F9" w:rsidRPr="001735F9">
        <w:rPr>
          <w:rFonts w:asciiTheme="minorHAnsi" w:hAnsiTheme="minorHAnsi"/>
          <w:szCs w:val="24"/>
        </w:rPr>
        <w:t xml:space="preserve">oferta pública amigável para aquisição de 100% do capital da GVT, ao preço de R$ 42,00. </w:t>
      </w:r>
      <w:r>
        <w:rPr>
          <w:rFonts w:asciiTheme="minorHAnsi" w:hAnsiTheme="minorHAnsi"/>
          <w:szCs w:val="24"/>
        </w:rPr>
        <w:t xml:space="preserve">Posteriormente, em 07.10.09, a Telefónica, concorrente espanhola da Vivendi, vendo margem para o negócio, </w:t>
      </w:r>
      <w:r w:rsidR="001735F9" w:rsidRPr="001735F9">
        <w:rPr>
          <w:rFonts w:asciiTheme="minorHAnsi" w:hAnsiTheme="minorHAnsi"/>
          <w:szCs w:val="24"/>
        </w:rPr>
        <w:t xml:space="preserve">aprovou </w:t>
      </w:r>
      <w:r w:rsidR="004E3E84">
        <w:rPr>
          <w:rFonts w:asciiTheme="minorHAnsi" w:hAnsiTheme="minorHAnsi"/>
          <w:szCs w:val="24"/>
        </w:rPr>
        <w:t xml:space="preserve">também </w:t>
      </w:r>
      <w:r w:rsidR="001735F9" w:rsidRPr="001735F9">
        <w:rPr>
          <w:rFonts w:asciiTheme="minorHAnsi" w:hAnsiTheme="minorHAnsi"/>
          <w:szCs w:val="24"/>
        </w:rPr>
        <w:t>o lançamento de uma oferta voluntária para aquisição de até 100% das ações de emissão da GVT</w:t>
      </w:r>
      <w:r w:rsidR="004E3E84">
        <w:rPr>
          <w:rFonts w:asciiTheme="minorHAnsi" w:hAnsiTheme="minorHAnsi"/>
          <w:szCs w:val="24"/>
        </w:rPr>
        <w:t>,</w:t>
      </w:r>
      <w:r w:rsidR="001735F9" w:rsidRPr="001735F9">
        <w:rPr>
          <w:rFonts w:asciiTheme="minorHAnsi" w:hAnsiTheme="minorHAnsi"/>
          <w:szCs w:val="24"/>
        </w:rPr>
        <w:t xml:space="preserve"> pelo preço de R$ 48,00 por ação</w:t>
      </w:r>
      <w:r w:rsidR="004A6E26">
        <w:rPr>
          <w:rFonts w:asciiTheme="minorHAnsi" w:hAnsiTheme="minorHAnsi"/>
          <w:szCs w:val="24"/>
        </w:rPr>
        <w:t>, iniciado</w:t>
      </w:r>
      <w:r w:rsidR="005A70C8">
        <w:rPr>
          <w:rFonts w:asciiTheme="minorHAnsi" w:hAnsiTheme="minorHAnsi"/>
          <w:szCs w:val="24"/>
        </w:rPr>
        <w:t>, assim,</w:t>
      </w:r>
      <w:r w:rsidR="004A6E26">
        <w:rPr>
          <w:rFonts w:asciiTheme="minorHAnsi" w:hAnsiTheme="minorHAnsi"/>
          <w:szCs w:val="24"/>
        </w:rPr>
        <w:t xml:space="preserve"> uma competição entre as companhias.</w:t>
      </w:r>
    </w:p>
    <w:p w:rsidR="005A70C8" w:rsidRPr="002B78CF" w:rsidRDefault="005A70C8" w:rsidP="005A70C8">
      <w:pPr>
        <w:spacing w:after="120" w:line="24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Como ambas as ofertas estavam condicionadas à dispensa dos mecanismos de proteção da </w:t>
      </w:r>
      <w:r w:rsidRPr="001735F9">
        <w:rPr>
          <w:rFonts w:asciiTheme="minorHAnsi" w:hAnsiTheme="minorHAnsi"/>
          <w:szCs w:val="24"/>
        </w:rPr>
        <w:t>dispersão das ações de emissão</w:t>
      </w:r>
      <w:r>
        <w:rPr>
          <w:rFonts w:asciiTheme="minorHAnsi" w:hAnsiTheme="minorHAnsi"/>
          <w:szCs w:val="24"/>
        </w:rPr>
        <w:t xml:space="preserve"> </w:t>
      </w:r>
      <w:r w:rsidRPr="001735F9">
        <w:rPr>
          <w:rFonts w:asciiTheme="minorHAnsi" w:hAnsiTheme="minorHAnsi"/>
          <w:szCs w:val="24"/>
        </w:rPr>
        <w:t>da GVT</w:t>
      </w:r>
      <w:r>
        <w:rPr>
          <w:rFonts w:asciiTheme="minorHAnsi" w:hAnsiTheme="minorHAnsi"/>
          <w:szCs w:val="24"/>
        </w:rPr>
        <w:t xml:space="preserve"> (</w:t>
      </w:r>
      <w:proofErr w:type="spellStart"/>
      <w:r>
        <w:rPr>
          <w:rFonts w:asciiTheme="minorHAnsi" w:hAnsiTheme="minorHAnsi"/>
          <w:i/>
          <w:szCs w:val="24"/>
        </w:rPr>
        <w:t>poison</w:t>
      </w:r>
      <w:proofErr w:type="spellEnd"/>
      <w:r>
        <w:rPr>
          <w:rFonts w:asciiTheme="minorHAnsi" w:hAnsiTheme="minorHAnsi"/>
          <w:i/>
          <w:szCs w:val="24"/>
        </w:rPr>
        <w:t xml:space="preserve"> </w:t>
      </w:r>
      <w:proofErr w:type="spellStart"/>
      <w:r>
        <w:rPr>
          <w:rFonts w:asciiTheme="minorHAnsi" w:hAnsiTheme="minorHAnsi"/>
          <w:i/>
          <w:szCs w:val="24"/>
        </w:rPr>
        <w:t>pills</w:t>
      </w:r>
      <w:proofErr w:type="spellEnd"/>
      <w:r>
        <w:rPr>
          <w:rFonts w:asciiTheme="minorHAnsi" w:hAnsiTheme="minorHAnsi"/>
          <w:i/>
          <w:szCs w:val="24"/>
        </w:rPr>
        <w:t>)</w:t>
      </w:r>
      <w:r>
        <w:rPr>
          <w:rFonts w:asciiTheme="minorHAnsi" w:hAnsiTheme="minorHAnsi"/>
          <w:szCs w:val="24"/>
        </w:rPr>
        <w:t>,</w:t>
      </w:r>
      <w:r w:rsidRPr="001735F9">
        <w:rPr>
          <w:rFonts w:asciiTheme="minorHAnsi" w:hAnsiTheme="minorHAnsi"/>
          <w:szCs w:val="24"/>
        </w:rPr>
        <w:t xml:space="preserve"> e</w:t>
      </w:r>
      <w:r w:rsidR="00E915BF">
        <w:rPr>
          <w:rFonts w:asciiTheme="minorHAnsi" w:hAnsiTheme="minorHAnsi"/>
          <w:szCs w:val="24"/>
        </w:rPr>
        <w:t xml:space="preserve">stabelecidos no artigo 43 </w:t>
      </w:r>
      <w:r w:rsidRPr="001735F9">
        <w:rPr>
          <w:rFonts w:asciiTheme="minorHAnsi" w:hAnsiTheme="minorHAnsi"/>
          <w:szCs w:val="24"/>
        </w:rPr>
        <w:t>de seu Estatuto Social, foi aprovada por unanimidade dos acionistas presentes em AGE</w:t>
      </w:r>
      <w:r>
        <w:rPr>
          <w:rFonts w:asciiTheme="minorHAnsi" w:hAnsiTheme="minorHAnsi"/>
          <w:szCs w:val="24"/>
        </w:rPr>
        <w:t xml:space="preserve">, em 03.11.09, </w:t>
      </w:r>
      <w:r w:rsidRPr="001735F9">
        <w:rPr>
          <w:rFonts w:asciiTheme="minorHAnsi" w:hAnsiTheme="minorHAnsi"/>
          <w:szCs w:val="24"/>
        </w:rPr>
        <w:t xml:space="preserve"> a dispensa d</w:t>
      </w:r>
      <w:r w:rsidR="00E915BF">
        <w:rPr>
          <w:rFonts w:asciiTheme="minorHAnsi" w:hAnsiTheme="minorHAnsi"/>
          <w:szCs w:val="24"/>
        </w:rPr>
        <w:t>e tal cláusula, assim redigida</w:t>
      </w:r>
      <w:r>
        <w:rPr>
          <w:rFonts w:asciiTheme="minorHAnsi" w:hAnsiTheme="minorHAnsi"/>
          <w:szCs w:val="24"/>
        </w:rPr>
        <w:t>:</w:t>
      </w:r>
    </w:p>
    <w:p w:rsidR="00E13ECF" w:rsidRDefault="005A70C8" w:rsidP="00640ED0">
      <w:pPr>
        <w:spacing w:after="120" w:line="240" w:lineRule="auto"/>
        <w:ind w:left="720"/>
        <w:jc w:val="both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i/>
          <w:szCs w:val="24"/>
        </w:rPr>
        <w:t xml:space="preserve"> </w:t>
      </w:r>
      <w:r w:rsidR="002573DF">
        <w:rPr>
          <w:rFonts w:asciiTheme="minorHAnsi" w:hAnsiTheme="minorHAnsi"/>
          <w:i/>
          <w:szCs w:val="24"/>
        </w:rPr>
        <w:t>“Art. 43.  Qualquer Acionista Adquirente, que adquira ou se torne titular de ações de emissão da Companhia em qu</w:t>
      </w:r>
      <w:r w:rsidR="00640ED0">
        <w:rPr>
          <w:rFonts w:asciiTheme="minorHAnsi" w:hAnsiTheme="minorHAnsi"/>
          <w:i/>
          <w:szCs w:val="24"/>
        </w:rPr>
        <w:t>antidade igual ou superior a 15%</w:t>
      </w:r>
      <w:r w:rsidR="002573DF">
        <w:rPr>
          <w:rFonts w:asciiTheme="minorHAnsi" w:hAnsiTheme="minorHAnsi"/>
          <w:i/>
          <w:szCs w:val="24"/>
        </w:rPr>
        <w:t xml:space="preserve"> (q</w:t>
      </w:r>
      <w:r w:rsidR="00640ED0">
        <w:rPr>
          <w:rFonts w:asciiTheme="minorHAnsi" w:hAnsiTheme="minorHAnsi"/>
          <w:i/>
          <w:szCs w:val="24"/>
        </w:rPr>
        <w:t>uinze por cento) do total das ações</w:t>
      </w:r>
      <w:r w:rsidR="002573DF">
        <w:rPr>
          <w:rFonts w:asciiTheme="minorHAnsi" w:hAnsiTheme="minorHAnsi"/>
          <w:i/>
          <w:szCs w:val="24"/>
        </w:rPr>
        <w:t xml:space="preserve"> de emissão da Companhia deverá, (i) obter autorização previa da Agencia Nacional de </w:t>
      </w:r>
      <w:r w:rsidR="00640ED0">
        <w:rPr>
          <w:rFonts w:asciiTheme="minorHAnsi" w:hAnsiTheme="minorHAnsi"/>
          <w:i/>
          <w:szCs w:val="24"/>
        </w:rPr>
        <w:t>Telecomunicações</w:t>
      </w:r>
      <w:r w:rsidR="002573DF">
        <w:rPr>
          <w:rFonts w:asciiTheme="minorHAnsi" w:hAnsiTheme="minorHAnsi"/>
          <w:i/>
          <w:szCs w:val="24"/>
        </w:rPr>
        <w:t xml:space="preserve"> – ANATEL, nos termos da legislação aplicável, e (</w:t>
      </w:r>
      <w:proofErr w:type="spellStart"/>
      <w:r w:rsidR="002573DF">
        <w:rPr>
          <w:rFonts w:asciiTheme="minorHAnsi" w:hAnsiTheme="minorHAnsi"/>
          <w:i/>
          <w:szCs w:val="24"/>
        </w:rPr>
        <w:t>ii</w:t>
      </w:r>
      <w:proofErr w:type="spellEnd"/>
      <w:r w:rsidR="002573DF">
        <w:rPr>
          <w:rFonts w:asciiTheme="minorHAnsi" w:hAnsiTheme="minorHAnsi"/>
          <w:i/>
          <w:szCs w:val="24"/>
        </w:rPr>
        <w:t xml:space="preserve">) no prazo máximo de 30 (trinta) dias a contar da data de aquisição ou do evento que resultou na titularidade de </w:t>
      </w:r>
      <w:r w:rsidR="00640ED0">
        <w:rPr>
          <w:rFonts w:asciiTheme="minorHAnsi" w:hAnsiTheme="minorHAnsi"/>
          <w:i/>
          <w:szCs w:val="24"/>
        </w:rPr>
        <w:t>ações</w:t>
      </w:r>
      <w:r w:rsidR="002573DF">
        <w:rPr>
          <w:rFonts w:asciiTheme="minorHAnsi" w:hAnsiTheme="minorHAnsi"/>
          <w:i/>
          <w:szCs w:val="24"/>
        </w:rPr>
        <w:t xml:space="preserve"> em quantidade igual ou superior a 15% (quinze por cento) do total de </w:t>
      </w:r>
      <w:r w:rsidR="00640ED0">
        <w:rPr>
          <w:rFonts w:asciiTheme="minorHAnsi" w:hAnsiTheme="minorHAnsi"/>
          <w:i/>
          <w:szCs w:val="24"/>
        </w:rPr>
        <w:t>ações</w:t>
      </w:r>
      <w:r w:rsidR="002573DF">
        <w:rPr>
          <w:rFonts w:asciiTheme="minorHAnsi" w:hAnsiTheme="minorHAnsi"/>
          <w:i/>
          <w:szCs w:val="24"/>
        </w:rPr>
        <w:t xml:space="preserve"> de emissão da Companhia, efetivar, conforme o caso, uma oferta publica de aquisição de </w:t>
      </w:r>
      <w:r w:rsidR="00640ED0">
        <w:rPr>
          <w:rFonts w:asciiTheme="minorHAnsi" w:hAnsiTheme="minorHAnsi"/>
          <w:i/>
          <w:szCs w:val="24"/>
        </w:rPr>
        <w:t>ações</w:t>
      </w:r>
      <w:r w:rsidR="002573DF">
        <w:rPr>
          <w:rFonts w:asciiTheme="minorHAnsi" w:hAnsiTheme="minorHAnsi"/>
          <w:i/>
          <w:szCs w:val="24"/>
        </w:rPr>
        <w:t xml:space="preserve"> (“OPA”) da totalidade das </w:t>
      </w:r>
      <w:r w:rsidR="00640ED0">
        <w:rPr>
          <w:rFonts w:asciiTheme="minorHAnsi" w:hAnsiTheme="minorHAnsi"/>
          <w:i/>
          <w:szCs w:val="24"/>
        </w:rPr>
        <w:t>ações</w:t>
      </w:r>
      <w:r w:rsidR="002573DF">
        <w:rPr>
          <w:rFonts w:asciiTheme="minorHAnsi" w:hAnsiTheme="minorHAnsi"/>
          <w:i/>
          <w:szCs w:val="24"/>
        </w:rPr>
        <w:t xml:space="preserve"> de emissão da Companhia, observando-se o disposto na regulamentação aplicável da CVM, o Regulamento de Listagem do Novo Mercado, outros regulamentos da BOVESPA e os termos deste artigo. </w:t>
      </w:r>
    </w:p>
    <w:p w:rsidR="00E13ECF" w:rsidRDefault="00E13ECF" w:rsidP="00640ED0">
      <w:pPr>
        <w:spacing w:after="120" w:line="240" w:lineRule="auto"/>
        <w:ind w:left="720"/>
        <w:jc w:val="both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i/>
          <w:szCs w:val="24"/>
        </w:rPr>
        <w:t xml:space="preserve">§ 1º. A OPA deverá ser: (i) dirigida indistintamente a todos os acionistas da Companhia e detentores de direitos ou opções conversíveis em </w:t>
      </w:r>
      <w:r w:rsidR="00640ED0">
        <w:rPr>
          <w:rFonts w:asciiTheme="minorHAnsi" w:hAnsiTheme="minorHAnsi"/>
          <w:i/>
          <w:szCs w:val="24"/>
        </w:rPr>
        <w:t>ações</w:t>
      </w:r>
      <w:r>
        <w:rPr>
          <w:rFonts w:asciiTheme="minorHAnsi" w:hAnsiTheme="minorHAnsi"/>
          <w:i/>
          <w:szCs w:val="24"/>
        </w:rPr>
        <w:t xml:space="preserve"> da Companhia e não poderá estar condicionada a números mínimos de aceitação; (</w:t>
      </w:r>
      <w:proofErr w:type="spellStart"/>
      <w:r>
        <w:rPr>
          <w:rFonts w:asciiTheme="minorHAnsi" w:hAnsiTheme="minorHAnsi"/>
          <w:i/>
          <w:szCs w:val="24"/>
        </w:rPr>
        <w:t>ii</w:t>
      </w:r>
      <w:proofErr w:type="spellEnd"/>
      <w:r>
        <w:rPr>
          <w:rFonts w:asciiTheme="minorHAnsi" w:hAnsiTheme="minorHAnsi"/>
          <w:i/>
          <w:szCs w:val="24"/>
        </w:rPr>
        <w:t>) efetivada em leilão a ser realizado na BOVESPA; (</w:t>
      </w:r>
      <w:proofErr w:type="spellStart"/>
      <w:r>
        <w:rPr>
          <w:rFonts w:asciiTheme="minorHAnsi" w:hAnsiTheme="minorHAnsi"/>
          <w:i/>
          <w:szCs w:val="24"/>
        </w:rPr>
        <w:t>iii</w:t>
      </w:r>
      <w:proofErr w:type="spellEnd"/>
      <w:r>
        <w:rPr>
          <w:rFonts w:asciiTheme="minorHAnsi" w:hAnsiTheme="minorHAnsi"/>
          <w:i/>
          <w:szCs w:val="24"/>
        </w:rPr>
        <w:t>) lançada pelo preço determinado de acordo com o previsto no § 2º deste artigo; e (</w:t>
      </w:r>
      <w:proofErr w:type="spellStart"/>
      <w:r>
        <w:rPr>
          <w:rFonts w:asciiTheme="minorHAnsi" w:hAnsiTheme="minorHAnsi"/>
          <w:i/>
          <w:szCs w:val="24"/>
        </w:rPr>
        <w:t>iv</w:t>
      </w:r>
      <w:proofErr w:type="spellEnd"/>
      <w:r>
        <w:rPr>
          <w:rFonts w:asciiTheme="minorHAnsi" w:hAnsiTheme="minorHAnsi"/>
          <w:i/>
          <w:szCs w:val="24"/>
        </w:rPr>
        <w:t>) paga à vista, em moeda corrente nacional contra a aquisição na OPA de ações de emissão da Companhia.</w:t>
      </w:r>
    </w:p>
    <w:p w:rsidR="00E915BF" w:rsidRDefault="00E13ECF" w:rsidP="005A70C8">
      <w:pPr>
        <w:spacing w:after="120" w:line="240" w:lineRule="auto"/>
        <w:ind w:left="720"/>
        <w:jc w:val="both"/>
        <w:rPr>
          <w:rFonts w:ascii="Times New Roman" w:hAnsi="Times New Roman"/>
        </w:rPr>
      </w:pPr>
      <w:r>
        <w:rPr>
          <w:rFonts w:asciiTheme="minorHAnsi" w:hAnsiTheme="minorHAnsi"/>
          <w:i/>
          <w:szCs w:val="24"/>
        </w:rPr>
        <w:t xml:space="preserve">§ 2º. O </w:t>
      </w:r>
      <w:r w:rsidR="00640ED0">
        <w:rPr>
          <w:rFonts w:asciiTheme="minorHAnsi" w:hAnsiTheme="minorHAnsi"/>
          <w:i/>
          <w:szCs w:val="24"/>
        </w:rPr>
        <w:t>preço</w:t>
      </w:r>
      <w:r>
        <w:rPr>
          <w:rFonts w:asciiTheme="minorHAnsi" w:hAnsiTheme="minorHAnsi"/>
          <w:i/>
          <w:szCs w:val="24"/>
        </w:rPr>
        <w:t xml:space="preserve"> de aquisição na OPA de cada ação de emissão da Companhia não poderá ser inferior ao maior valor entre (i) 125% (cento e vinte e cinco por cento) da cotação unitária mais alta atingida pelas </w:t>
      </w:r>
      <w:r w:rsidR="00640ED0">
        <w:rPr>
          <w:rFonts w:asciiTheme="minorHAnsi" w:hAnsiTheme="minorHAnsi"/>
          <w:i/>
          <w:szCs w:val="24"/>
        </w:rPr>
        <w:t>ações</w:t>
      </w:r>
      <w:r>
        <w:rPr>
          <w:rFonts w:asciiTheme="minorHAnsi" w:hAnsiTheme="minorHAnsi"/>
          <w:i/>
          <w:szCs w:val="24"/>
        </w:rPr>
        <w:t xml:space="preserve"> de emissão da Companhia durante o período de 12 (doze) meses anterior à realização da OPA em qualquer bolsa de valores em que as </w:t>
      </w:r>
      <w:r w:rsidR="00640ED0">
        <w:rPr>
          <w:rFonts w:asciiTheme="minorHAnsi" w:hAnsiTheme="minorHAnsi"/>
          <w:i/>
          <w:szCs w:val="24"/>
        </w:rPr>
        <w:t>ações</w:t>
      </w:r>
      <w:r>
        <w:rPr>
          <w:rFonts w:asciiTheme="minorHAnsi" w:hAnsiTheme="minorHAnsi"/>
          <w:i/>
          <w:szCs w:val="24"/>
        </w:rPr>
        <w:t xml:space="preserve"> da Companhia foram negociadas; (</w:t>
      </w:r>
      <w:proofErr w:type="spellStart"/>
      <w:r>
        <w:rPr>
          <w:rFonts w:asciiTheme="minorHAnsi" w:hAnsiTheme="minorHAnsi"/>
          <w:i/>
          <w:szCs w:val="24"/>
        </w:rPr>
        <w:t>ii</w:t>
      </w:r>
      <w:proofErr w:type="spellEnd"/>
      <w:r>
        <w:rPr>
          <w:rFonts w:asciiTheme="minorHAnsi" w:hAnsiTheme="minorHAnsi"/>
          <w:i/>
          <w:szCs w:val="24"/>
        </w:rPr>
        <w:t xml:space="preserve">) 125% do preço unitário mais alto pago pelo Acionista Adquirente, a qualquer tempo, para uma ação ou lote de ações de </w:t>
      </w:r>
      <w:r w:rsidR="00640ED0">
        <w:rPr>
          <w:rFonts w:asciiTheme="minorHAnsi" w:hAnsiTheme="minorHAnsi"/>
          <w:i/>
          <w:szCs w:val="24"/>
        </w:rPr>
        <w:t>emissão</w:t>
      </w:r>
      <w:r>
        <w:rPr>
          <w:rFonts w:asciiTheme="minorHAnsi" w:hAnsiTheme="minorHAnsi"/>
          <w:i/>
          <w:szCs w:val="24"/>
        </w:rPr>
        <w:t xml:space="preserve"> da Companhia; (</w:t>
      </w:r>
      <w:proofErr w:type="spellStart"/>
      <w:r>
        <w:rPr>
          <w:rFonts w:asciiTheme="minorHAnsi" w:hAnsiTheme="minorHAnsi"/>
          <w:i/>
          <w:szCs w:val="24"/>
        </w:rPr>
        <w:t>iii</w:t>
      </w:r>
      <w:proofErr w:type="spellEnd"/>
      <w:r>
        <w:rPr>
          <w:rFonts w:asciiTheme="minorHAnsi" w:hAnsiTheme="minorHAnsi"/>
          <w:i/>
          <w:szCs w:val="24"/>
        </w:rPr>
        <w:t xml:space="preserve">) o valor econômico apurado em laudo de avaliação, com base nos critérios, adotados de forma isolada ou combinada, de patrimônio liquido contábil, de patrimônio liquido avaliado a preço de mercado, de fluxo de caixa descontado, de comparação por múltiplos, de cotação das </w:t>
      </w:r>
      <w:r w:rsidR="00640ED0">
        <w:rPr>
          <w:rFonts w:asciiTheme="minorHAnsi" w:hAnsiTheme="minorHAnsi"/>
          <w:i/>
          <w:szCs w:val="24"/>
        </w:rPr>
        <w:t>ações</w:t>
      </w:r>
      <w:r>
        <w:rPr>
          <w:rFonts w:asciiTheme="minorHAnsi" w:hAnsiTheme="minorHAnsi"/>
          <w:i/>
          <w:szCs w:val="24"/>
        </w:rPr>
        <w:t xml:space="preserve"> no </w:t>
      </w:r>
      <w:r>
        <w:rPr>
          <w:rFonts w:asciiTheme="minorHAnsi" w:hAnsiTheme="minorHAnsi"/>
          <w:i/>
          <w:szCs w:val="24"/>
        </w:rPr>
        <w:lastRenderedPageBreak/>
        <w:t xml:space="preserve">mercado de valores mobiliários, ou com base em outro critério aceito pela Comissão de Valores </w:t>
      </w:r>
      <w:r w:rsidR="00640ED0">
        <w:rPr>
          <w:rFonts w:asciiTheme="minorHAnsi" w:hAnsiTheme="minorHAnsi"/>
          <w:i/>
          <w:szCs w:val="24"/>
        </w:rPr>
        <w:t>Mobiliários</w:t>
      </w:r>
      <w:r>
        <w:rPr>
          <w:rFonts w:asciiTheme="minorHAnsi" w:hAnsiTheme="minorHAnsi"/>
          <w:i/>
          <w:szCs w:val="24"/>
        </w:rPr>
        <w:t>.</w:t>
      </w:r>
      <w:r w:rsidR="00E915BF" w:rsidRPr="00E915BF">
        <w:rPr>
          <w:rFonts w:ascii="Times New Roman" w:hAnsi="Times New Roman"/>
        </w:rPr>
        <w:t xml:space="preserve"> </w:t>
      </w:r>
    </w:p>
    <w:p w:rsidR="004E3E84" w:rsidRPr="005A70C8" w:rsidRDefault="00E915BF" w:rsidP="005A70C8">
      <w:pPr>
        <w:spacing w:after="120" w:line="240" w:lineRule="auto"/>
        <w:ind w:left="720"/>
        <w:jc w:val="both"/>
        <w:rPr>
          <w:rFonts w:asciiTheme="minorHAnsi" w:hAnsiTheme="minorHAnsi"/>
          <w:i/>
          <w:szCs w:val="24"/>
        </w:rPr>
      </w:pPr>
      <w:r w:rsidRPr="00E915BF">
        <w:rPr>
          <w:rFonts w:asciiTheme="minorHAnsi" w:hAnsiTheme="minorHAnsi"/>
          <w:i/>
          <w:szCs w:val="24"/>
        </w:rPr>
        <w:t>§3º A alteração que limite o direito dos acionistas à realização da OPA prevista neste Artigo ou a exclusão deste Artigo obrigará o(s) acionista(s) que tiver(em) votado a favor de tal alteração ou exclusão na deliberação em Assembleia Geral a realizar a OPA prevista neste Artigo.</w:t>
      </w:r>
      <w:r w:rsidR="00E13ECF">
        <w:rPr>
          <w:rFonts w:asciiTheme="minorHAnsi" w:hAnsiTheme="minorHAnsi"/>
          <w:i/>
          <w:szCs w:val="24"/>
        </w:rPr>
        <w:t>”</w:t>
      </w:r>
    </w:p>
    <w:p w:rsidR="00E915BF" w:rsidRDefault="00E7465F" w:rsidP="001F746A">
      <w:pPr>
        <w:spacing w:after="120" w:line="24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</w:t>
      </w:r>
      <w:r w:rsidR="00E915BF">
        <w:rPr>
          <w:rFonts w:asciiTheme="minorHAnsi" w:hAnsiTheme="minorHAnsi"/>
          <w:szCs w:val="24"/>
        </w:rPr>
        <w:t xml:space="preserve">esmo a votação tendo sido realizada por unanimidade dentre os presentes, </w:t>
      </w:r>
      <w:r>
        <w:rPr>
          <w:rFonts w:asciiTheme="minorHAnsi" w:hAnsiTheme="minorHAnsi"/>
          <w:szCs w:val="24"/>
        </w:rPr>
        <w:t xml:space="preserve">alguns </w:t>
      </w:r>
      <w:r w:rsidR="00F5733D">
        <w:rPr>
          <w:rFonts w:asciiTheme="minorHAnsi" w:hAnsiTheme="minorHAnsi"/>
          <w:szCs w:val="24"/>
        </w:rPr>
        <w:t xml:space="preserve">acionistas </w:t>
      </w:r>
      <w:r w:rsidR="00E915BF">
        <w:rPr>
          <w:rFonts w:asciiTheme="minorHAnsi" w:hAnsiTheme="minorHAnsi"/>
          <w:szCs w:val="24"/>
        </w:rPr>
        <w:t xml:space="preserve">manifestaram certa preocupação quanto ao parágrafo 3º, uma vez que um acionista que não tivesse participado da assembleia poderia vir a </w:t>
      </w:r>
      <w:r>
        <w:rPr>
          <w:rFonts w:asciiTheme="minorHAnsi" w:hAnsiTheme="minorHAnsi"/>
          <w:szCs w:val="24"/>
        </w:rPr>
        <w:t>re</w:t>
      </w:r>
      <w:r w:rsidR="00E915BF">
        <w:rPr>
          <w:rFonts w:asciiTheme="minorHAnsi" w:hAnsiTheme="minorHAnsi"/>
          <w:szCs w:val="24"/>
        </w:rPr>
        <w:t xml:space="preserve">querer exigir a obrigação prevista no § 3º do art. 43. </w:t>
      </w:r>
    </w:p>
    <w:p w:rsidR="00E915BF" w:rsidRDefault="00E915BF" w:rsidP="001F746A">
      <w:pPr>
        <w:spacing w:after="120" w:line="24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Ao final, a venda do controle da GVT foi realizada à Vivendi.</w:t>
      </w:r>
    </w:p>
    <w:p w:rsidR="001F746A" w:rsidRPr="00FF1FBE" w:rsidRDefault="005A70C8" w:rsidP="001F746A">
      <w:pPr>
        <w:spacing w:after="120" w:line="24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Caso extraído do</w:t>
      </w:r>
      <w:r w:rsidR="001F746A">
        <w:rPr>
          <w:rFonts w:asciiTheme="minorHAnsi" w:hAnsiTheme="minorHAnsi"/>
          <w:szCs w:val="24"/>
        </w:rPr>
        <w:t xml:space="preserve"> P</w:t>
      </w:r>
      <w:r w:rsidR="001F746A" w:rsidRPr="001F746A">
        <w:rPr>
          <w:rFonts w:asciiTheme="minorHAnsi" w:hAnsiTheme="minorHAnsi"/>
          <w:szCs w:val="24"/>
        </w:rPr>
        <w:t xml:space="preserve">rocesso </w:t>
      </w:r>
      <w:r w:rsidR="001F746A">
        <w:rPr>
          <w:rFonts w:asciiTheme="minorHAnsi" w:hAnsiTheme="minorHAnsi"/>
          <w:szCs w:val="24"/>
        </w:rPr>
        <w:t>A</w:t>
      </w:r>
      <w:r w:rsidR="001F746A" w:rsidRPr="001F746A">
        <w:rPr>
          <w:rFonts w:asciiTheme="minorHAnsi" w:hAnsiTheme="minorHAnsi"/>
          <w:szCs w:val="24"/>
        </w:rPr>
        <w:t xml:space="preserve">dministrativo </w:t>
      </w:r>
      <w:r w:rsidR="001F746A">
        <w:rPr>
          <w:rFonts w:asciiTheme="minorHAnsi" w:hAnsiTheme="minorHAnsi"/>
          <w:szCs w:val="24"/>
        </w:rPr>
        <w:t>S</w:t>
      </w:r>
      <w:r w:rsidR="001F746A" w:rsidRPr="001F746A">
        <w:rPr>
          <w:rFonts w:asciiTheme="minorHAnsi" w:hAnsiTheme="minorHAnsi"/>
          <w:szCs w:val="24"/>
        </w:rPr>
        <w:t xml:space="preserve">ancionador </w:t>
      </w:r>
      <w:r w:rsidR="001F746A">
        <w:rPr>
          <w:rFonts w:asciiTheme="minorHAnsi" w:hAnsiTheme="minorHAnsi"/>
          <w:szCs w:val="24"/>
        </w:rPr>
        <w:t>CVM</w:t>
      </w:r>
      <w:r w:rsidR="001F746A" w:rsidRPr="001F746A">
        <w:rPr>
          <w:rFonts w:asciiTheme="minorHAnsi" w:hAnsiTheme="minorHAnsi"/>
          <w:szCs w:val="24"/>
        </w:rPr>
        <w:t xml:space="preserve"> nº </w:t>
      </w:r>
      <w:r w:rsidR="001F746A">
        <w:rPr>
          <w:rFonts w:asciiTheme="minorHAnsi" w:hAnsiTheme="minorHAnsi"/>
          <w:szCs w:val="24"/>
        </w:rPr>
        <w:t>RJ</w:t>
      </w:r>
      <w:r w:rsidR="001F746A" w:rsidRPr="001F746A">
        <w:rPr>
          <w:rFonts w:asciiTheme="minorHAnsi" w:hAnsiTheme="minorHAnsi"/>
          <w:szCs w:val="24"/>
        </w:rPr>
        <w:t>2010/2419</w:t>
      </w:r>
      <w:r w:rsidR="001F746A">
        <w:rPr>
          <w:rFonts w:asciiTheme="minorHAnsi" w:hAnsiTheme="minorHAnsi"/>
          <w:szCs w:val="24"/>
        </w:rPr>
        <w:t xml:space="preserve"> / </w:t>
      </w:r>
      <w:r w:rsidR="001F746A" w:rsidRPr="001F746A">
        <w:rPr>
          <w:rFonts w:asciiTheme="minorHAnsi" w:hAnsiTheme="minorHAnsi"/>
          <w:szCs w:val="24"/>
        </w:rPr>
        <w:t xml:space="preserve">Processo de </w:t>
      </w:r>
      <w:r w:rsidR="001F746A">
        <w:rPr>
          <w:rFonts w:asciiTheme="minorHAnsi" w:hAnsiTheme="minorHAnsi"/>
          <w:szCs w:val="24"/>
        </w:rPr>
        <w:t>T</w:t>
      </w:r>
      <w:r w:rsidR="001F746A" w:rsidRPr="001F746A">
        <w:rPr>
          <w:rFonts w:asciiTheme="minorHAnsi" w:hAnsiTheme="minorHAnsi"/>
          <w:szCs w:val="24"/>
        </w:rPr>
        <w:t xml:space="preserve">ermo de </w:t>
      </w:r>
      <w:r w:rsidR="001F746A">
        <w:rPr>
          <w:rFonts w:asciiTheme="minorHAnsi" w:hAnsiTheme="minorHAnsi"/>
          <w:szCs w:val="24"/>
        </w:rPr>
        <w:t>C</w:t>
      </w:r>
      <w:r w:rsidR="001F746A" w:rsidRPr="001F746A">
        <w:rPr>
          <w:rFonts w:asciiTheme="minorHAnsi" w:hAnsiTheme="minorHAnsi"/>
          <w:szCs w:val="24"/>
        </w:rPr>
        <w:t xml:space="preserve">ompromisso </w:t>
      </w:r>
      <w:r w:rsidR="001F746A">
        <w:rPr>
          <w:rFonts w:asciiTheme="minorHAnsi" w:hAnsiTheme="minorHAnsi"/>
          <w:szCs w:val="24"/>
        </w:rPr>
        <w:t xml:space="preserve">CVM </w:t>
      </w:r>
      <w:r w:rsidR="001F746A" w:rsidRPr="001F746A">
        <w:rPr>
          <w:rFonts w:asciiTheme="minorHAnsi" w:hAnsiTheme="minorHAnsi"/>
          <w:szCs w:val="24"/>
        </w:rPr>
        <w:t xml:space="preserve">nº </w:t>
      </w:r>
      <w:r w:rsidR="001F746A">
        <w:rPr>
          <w:rFonts w:asciiTheme="minorHAnsi" w:hAnsiTheme="minorHAnsi"/>
          <w:szCs w:val="24"/>
        </w:rPr>
        <w:t>RJ</w:t>
      </w:r>
      <w:r w:rsidR="001F746A" w:rsidRPr="001F746A">
        <w:rPr>
          <w:rFonts w:asciiTheme="minorHAnsi" w:hAnsiTheme="minorHAnsi"/>
          <w:szCs w:val="24"/>
        </w:rPr>
        <w:t>2010/15761</w:t>
      </w:r>
      <w:r w:rsidR="001F746A">
        <w:rPr>
          <w:rFonts w:asciiTheme="minorHAnsi" w:hAnsiTheme="minorHAnsi"/>
          <w:szCs w:val="24"/>
        </w:rPr>
        <w:t xml:space="preserve"> </w:t>
      </w:r>
      <w:r w:rsidR="001F746A">
        <w:rPr>
          <w:rFonts w:asciiTheme="minorHAnsi" w:hAnsiTheme="minorHAnsi"/>
          <w:i/>
          <w:szCs w:val="24"/>
        </w:rPr>
        <w:t>(GVT-Vivendi)</w:t>
      </w:r>
      <w:r w:rsidR="00FF1FBE">
        <w:rPr>
          <w:rFonts w:asciiTheme="minorHAnsi" w:hAnsiTheme="minorHAnsi"/>
          <w:i/>
          <w:szCs w:val="24"/>
        </w:rPr>
        <w:t xml:space="preserve"> – </w:t>
      </w:r>
      <w:r w:rsidR="00FF1FBE">
        <w:rPr>
          <w:rFonts w:asciiTheme="minorHAnsi" w:hAnsiTheme="minorHAnsi"/>
          <w:szCs w:val="24"/>
        </w:rPr>
        <w:t>com adaptações</w:t>
      </w:r>
      <w:r>
        <w:rPr>
          <w:rFonts w:asciiTheme="minorHAnsi" w:hAnsiTheme="minorHAnsi"/>
          <w:szCs w:val="24"/>
        </w:rPr>
        <w:t>.</w:t>
      </w:r>
    </w:p>
    <w:p w:rsidR="0040246C" w:rsidRDefault="0040246C" w:rsidP="00103C1F">
      <w:pPr>
        <w:tabs>
          <w:tab w:val="left" w:pos="1560"/>
        </w:tabs>
        <w:spacing w:after="120" w:line="240" w:lineRule="auto"/>
        <w:jc w:val="both"/>
        <w:rPr>
          <w:rFonts w:asciiTheme="minorHAnsi" w:hAnsiTheme="minorHAnsi"/>
          <w:b/>
          <w:szCs w:val="24"/>
        </w:rPr>
      </w:pPr>
    </w:p>
    <w:p w:rsidR="001D0871" w:rsidRDefault="001D0871" w:rsidP="00103C1F">
      <w:pPr>
        <w:tabs>
          <w:tab w:val="left" w:pos="1560"/>
        </w:tabs>
        <w:spacing w:after="120" w:line="240" w:lineRule="auto"/>
        <w:jc w:val="both"/>
        <w:rPr>
          <w:rFonts w:asciiTheme="minorHAnsi" w:hAnsiTheme="minorHAnsi"/>
          <w:b/>
          <w:szCs w:val="24"/>
        </w:rPr>
      </w:pPr>
      <w:r w:rsidRPr="00A53412">
        <w:rPr>
          <w:rFonts w:asciiTheme="minorHAnsi" w:hAnsiTheme="minorHAnsi"/>
          <w:b/>
          <w:szCs w:val="24"/>
        </w:rPr>
        <w:t>Questões:</w:t>
      </w:r>
    </w:p>
    <w:p w:rsidR="0040246C" w:rsidRPr="00103C1F" w:rsidRDefault="0040246C" w:rsidP="00103C1F">
      <w:pPr>
        <w:tabs>
          <w:tab w:val="left" w:pos="1560"/>
        </w:tabs>
        <w:spacing w:after="120" w:line="240" w:lineRule="auto"/>
        <w:jc w:val="both"/>
        <w:rPr>
          <w:rFonts w:asciiTheme="minorHAnsi" w:hAnsiTheme="minorHAnsi"/>
          <w:b/>
          <w:szCs w:val="24"/>
        </w:rPr>
      </w:pPr>
      <w:bookmarkStart w:id="0" w:name="_GoBack"/>
      <w:bookmarkEnd w:id="0"/>
    </w:p>
    <w:p w:rsidR="009E6FA8" w:rsidRPr="00B83292" w:rsidRDefault="009E6FA8" w:rsidP="00103C1F">
      <w:pPr>
        <w:pStyle w:val="ListParagraph"/>
        <w:numPr>
          <w:ilvl w:val="0"/>
          <w:numId w:val="19"/>
        </w:numPr>
        <w:tabs>
          <w:tab w:val="left" w:pos="1276"/>
        </w:tabs>
        <w:spacing w:after="240"/>
        <w:ind w:hanging="720"/>
        <w:contextualSpacing w:val="0"/>
        <w:jc w:val="both"/>
        <w:rPr>
          <w:rFonts w:asciiTheme="minorHAnsi" w:hAnsiTheme="minorHAnsi"/>
          <w:color w:val="222222"/>
          <w:sz w:val="22"/>
          <w:shd w:val="clear" w:color="auto" w:fill="FFFFFF"/>
        </w:rPr>
      </w:pPr>
      <w:r>
        <w:rPr>
          <w:rFonts w:asciiTheme="minorHAnsi" w:hAnsiTheme="minorHAnsi"/>
          <w:color w:val="222222"/>
          <w:sz w:val="22"/>
          <w:shd w:val="clear" w:color="auto" w:fill="FFFFFF"/>
        </w:rPr>
        <w:t xml:space="preserve">Analise a estrutura do mercado brasileiro e comente sobre seu reflexo na adoção deste modelo brasileiro de </w:t>
      </w:r>
      <w:r>
        <w:rPr>
          <w:rFonts w:asciiTheme="minorHAnsi" w:hAnsiTheme="minorHAnsi"/>
          <w:i/>
          <w:color w:val="222222"/>
          <w:sz w:val="22"/>
          <w:shd w:val="clear" w:color="auto" w:fill="FFFFFF"/>
        </w:rPr>
        <w:t xml:space="preserve">poison pill. </w:t>
      </w:r>
    </w:p>
    <w:p w:rsidR="0040246C" w:rsidRDefault="00B94CE1" w:rsidP="0040246C">
      <w:pPr>
        <w:pStyle w:val="ListParagraph"/>
        <w:numPr>
          <w:ilvl w:val="0"/>
          <w:numId w:val="19"/>
        </w:numPr>
        <w:tabs>
          <w:tab w:val="left" w:pos="1276"/>
        </w:tabs>
        <w:spacing w:after="240"/>
        <w:ind w:hanging="720"/>
        <w:contextualSpacing w:val="0"/>
        <w:jc w:val="both"/>
        <w:rPr>
          <w:rFonts w:asciiTheme="minorHAnsi" w:hAnsiTheme="minorHAnsi"/>
          <w:color w:val="222222"/>
          <w:sz w:val="22"/>
          <w:shd w:val="clear" w:color="auto" w:fill="FFFFFF"/>
        </w:rPr>
      </w:pPr>
      <w:r>
        <w:rPr>
          <w:rFonts w:asciiTheme="minorHAnsi" w:hAnsiTheme="minorHAnsi"/>
          <w:color w:val="222222"/>
          <w:sz w:val="22"/>
          <w:shd w:val="clear" w:color="auto" w:fill="FFFFFF"/>
        </w:rPr>
        <w:t xml:space="preserve">Em que medida a </w:t>
      </w:r>
      <w:r>
        <w:rPr>
          <w:rFonts w:asciiTheme="minorHAnsi" w:hAnsiTheme="minorHAnsi"/>
          <w:i/>
          <w:color w:val="222222"/>
          <w:sz w:val="22"/>
          <w:shd w:val="clear" w:color="auto" w:fill="FFFFFF"/>
        </w:rPr>
        <w:t xml:space="preserve">poison pill </w:t>
      </w:r>
      <w:r w:rsidR="001427B2">
        <w:rPr>
          <w:rFonts w:asciiTheme="minorHAnsi" w:hAnsiTheme="minorHAnsi"/>
          <w:color w:val="222222"/>
          <w:sz w:val="22"/>
          <w:shd w:val="clear" w:color="auto" w:fill="FFFFFF"/>
        </w:rPr>
        <w:t xml:space="preserve">brasileira se relaciona com o princípio da igualdade </w:t>
      </w:r>
      <w:r w:rsidR="00E915BF">
        <w:rPr>
          <w:rFonts w:asciiTheme="minorHAnsi" w:hAnsiTheme="minorHAnsi"/>
          <w:color w:val="222222"/>
          <w:sz w:val="22"/>
          <w:shd w:val="clear" w:color="auto" w:fill="FFFFFF"/>
        </w:rPr>
        <w:t xml:space="preserve">Considerando a </w:t>
      </w:r>
      <w:r w:rsidR="008D1D4B" w:rsidRPr="004A6E26">
        <w:rPr>
          <w:rFonts w:asciiTheme="minorHAnsi" w:hAnsiTheme="minorHAnsi"/>
          <w:color w:val="222222"/>
          <w:sz w:val="22"/>
          <w:shd w:val="clear" w:color="auto" w:fill="FFFFFF"/>
        </w:rPr>
        <w:t xml:space="preserve">cláusula </w:t>
      </w:r>
      <w:r w:rsidR="00E7465F">
        <w:rPr>
          <w:rFonts w:asciiTheme="minorHAnsi" w:hAnsiTheme="minorHAnsi"/>
          <w:color w:val="222222"/>
          <w:sz w:val="22"/>
          <w:shd w:val="clear" w:color="auto" w:fill="FFFFFF"/>
        </w:rPr>
        <w:t>constante do art. 43, § 3º d</w:t>
      </w:r>
      <w:r w:rsidR="008D1D4B" w:rsidRPr="004A6E26">
        <w:rPr>
          <w:rFonts w:asciiTheme="minorHAnsi" w:hAnsiTheme="minorHAnsi"/>
          <w:color w:val="222222"/>
          <w:sz w:val="22"/>
          <w:shd w:val="clear" w:color="auto" w:fill="FFFFFF"/>
        </w:rPr>
        <w:t xml:space="preserve">o Estatuto Social da GVT, </w:t>
      </w:r>
      <w:r w:rsidR="00E7465F">
        <w:rPr>
          <w:rFonts w:asciiTheme="minorHAnsi" w:hAnsiTheme="minorHAnsi"/>
          <w:color w:val="222222"/>
          <w:sz w:val="22"/>
          <w:shd w:val="clear" w:color="auto" w:fill="FFFFFF"/>
        </w:rPr>
        <w:t xml:space="preserve">a </w:t>
      </w:r>
      <w:r w:rsidR="008D1D4B" w:rsidRPr="004A6E26">
        <w:rPr>
          <w:rFonts w:asciiTheme="minorHAnsi" w:hAnsiTheme="minorHAnsi"/>
          <w:color w:val="222222"/>
          <w:sz w:val="22"/>
          <w:shd w:val="clear" w:color="auto" w:fill="FFFFFF"/>
        </w:rPr>
        <w:t xml:space="preserve">obrigação </w:t>
      </w:r>
      <w:r w:rsidR="00E7465F">
        <w:rPr>
          <w:rFonts w:asciiTheme="minorHAnsi" w:hAnsiTheme="minorHAnsi"/>
          <w:color w:val="222222"/>
          <w:sz w:val="22"/>
          <w:shd w:val="clear" w:color="auto" w:fill="FFFFFF"/>
        </w:rPr>
        <w:t xml:space="preserve">nela inserida </w:t>
      </w:r>
      <w:r w:rsidR="008D1D4B" w:rsidRPr="004A6E26">
        <w:rPr>
          <w:rFonts w:asciiTheme="minorHAnsi" w:hAnsiTheme="minorHAnsi"/>
          <w:color w:val="222222"/>
          <w:sz w:val="22"/>
          <w:shd w:val="clear" w:color="auto" w:fill="FFFFFF"/>
        </w:rPr>
        <w:t>poderia de alguma forma vir a ser exigida</w:t>
      </w:r>
      <w:r w:rsidR="00E915BF">
        <w:rPr>
          <w:rFonts w:asciiTheme="minorHAnsi" w:hAnsiTheme="minorHAnsi"/>
          <w:color w:val="222222"/>
          <w:sz w:val="22"/>
          <w:shd w:val="clear" w:color="auto" w:fill="FFFFFF"/>
        </w:rPr>
        <w:t xml:space="preserve"> por um acionista descontente</w:t>
      </w:r>
      <w:r w:rsidR="008D1D4B" w:rsidRPr="004A6E26">
        <w:rPr>
          <w:rFonts w:asciiTheme="minorHAnsi" w:hAnsiTheme="minorHAnsi"/>
          <w:color w:val="222222"/>
          <w:sz w:val="22"/>
          <w:shd w:val="clear" w:color="auto" w:fill="FFFFFF"/>
        </w:rPr>
        <w:t xml:space="preserve"> (administrativa ou judicialmente)? </w:t>
      </w:r>
      <w:r w:rsidR="0083581C">
        <w:rPr>
          <w:rFonts w:asciiTheme="minorHAnsi" w:hAnsiTheme="minorHAnsi"/>
          <w:color w:val="222222"/>
          <w:sz w:val="22"/>
          <w:shd w:val="clear" w:color="auto" w:fill="FFFFFF"/>
        </w:rPr>
        <w:t xml:space="preserve"> </w:t>
      </w:r>
    </w:p>
    <w:p w:rsidR="00AB7773" w:rsidRPr="0040246C" w:rsidRDefault="0083581C" w:rsidP="0040246C">
      <w:pPr>
        <w:pStyle w:val="ListParagraph"/>
        <w:numPr>
          <w:ilvl w:val="0"/>
          <w:numId w:val="19"/>
        </w:numPr>
        <w:tabs>
          <w:tab w:val="left" w:pos="1276"/>
        </w:tabs>
        <w:spacing w:after="240"/>
        <w:ind w:hanging="720"/>
        <w:contextualSpacing w:val="0"/>
        <w:jc w:val="both"/>
        <w:rPr>
          <w:rFonts w:asciiTheme="minorHAnsi" w:hAnsiTheme="minorHAnsi"/>
          <w:color w:val="222222"/>
          <w:sz w:val="22"/>
          <w:shd w:val="clear" w:color="auto" w:fill="FFFFFF"/>
        </w:rPr>
      </w:pPr>
      <w:r w:rsidRPr="0040246C">
        <w:rPr>
          <w:rFonts w:asciiTheme="minorHAnsi" w:hAnsiTheme="minorHAnsi"/>
          <w:color w:val="222222"/>
          <w:sz w:val="22"/>
          <w:shd w:val="clear" w:color="auto" w:fill="FFFFFF"/>
        </w:rPr>
        <w:t xml:space="preserve">Ocorrendo </w:t>
      </w:r>
      <w:r w:rsidR="004A6E26" w:rsidRPr="0040246C">
        <w:rPr>
          <w:rFonts w:asciiTheme="minorHAnsi" w:hAnsiTheme="minorHAnsi"/>
          <w:color w:val="222222"/>
          <w:sz w:val="22"/>
          <w:shd w:val="clear" w:color="auto" w:fill="FFFFFF"/>
        </w:rPr>
        <w:t xml:space="preserve">a </w:t>
      </w:r>
      <w:r w:rsidR="00FF1FBE" w:rsidRPr="0040246C">
        <w:rPr>
          <w:rFonts w:asciiTheme="minorHAnsi" w:hAnsiTheme="minorHAnsi"/>
          <w:color w:val="222222"/>
          <w:sz w:val="22"/>
          <w:shd w:val="clear" w:color="auto" w:fill="FFFFFF"/>
        </w:rPr>
        <w:t>alteração de controle da GVT por meio d</w:t>
      </w:r>
      <w:r w:rsidRPr="0040246C">
        <w:rPr>
          <w:rFonts w:asciiTheme="minorHAnsi" w:hAnsiTheme="minorHAnsi"/>
          <w:color w:val="222222"/>
          <w:sz w:val="22"/>
          <w:shd w:val="clear" w:color="auto" w:fill="FFFFFF"/>
        </w:rPr>
        <w:t>e</w:t>
      </w:r>
      <w:r w:rsidR="00FF1FBE" w:rsidRPr="0040246C">
        <w:rPr>
          <w:rFonts w:asciiTheme="minorHAnsi" w:hAnsiTheme="minorHAnsi"/>
          <w:color w:val="222222"/>
          <w:sz w:val="22"/>
          <w:shd w:val="clear" w:color="auto" w:fill="FFFFFF"/>
        </w:rPr>
        <w:t xml:space="preserve"> incorporação </w:t>
      </w:r>
      <w:r w:rsidRPr="0040246C">
        <w:rPr>
          <w:rFonts w:asciiTheme="minorHAnsi" w:hAnsiTheme="minorHAnsi"/>
          <w:color w:val="222222"/>
          <w:sz w:val="22"/>
          <w:shd w:val="clear" w:color="auto" w:fill="FFFFFF"/>
        </w:rPr>
        <w:t>sua por outra companhia</w:t>
      </w:r>
      <w:r w:rsidR="00FF1FBE" w:rsidRPr="0040246C">
        <w:rPr>
          <w:rFonts w:asciiTheme="minorHAnsi" w:hAnsiTheme="minorHAnsi"/>
          <w:color w:val="222222"/>
          <w:sz w:val="22"/>
          <w:shd w:val="clear" w:color="auto" w:fill="FFFFFF"/>
        </w:rPr>
        <w:t xml:space="preserve">, a </w:t>
      </w:r>
      <w:r w:rsidR="00FF1FBE" w:rsidRPr="0040246C">
        <w:rPr>
          <w:rFonts w:asciiTheme="minorHAnsi" w:hAnsiTheme="minorHAnsi"/>
          <w:i/>
          <w:color w:val="222222"/>
          <w:sz w:val="22"/>
          <w:shd w:val="clear" w:color="auto" w:fill="FFFFFF"/>
        </w:rPr>
        <w:t xml:space="preserve">poison pill </w:t>
      </w:r>
      <w:r w:rsidR="00FF1FBE" w:rsidRPr="0040246C">
        <w:rPr>
          <w:rFonts w:asciiTheme="minorHAnsi" w:hAnsiTheme="minorHAnsi"/>
          <w:color w:val="222222"/>
          <w:sz w:val="22"/>
          <w:shd w:val="clear" w:color="auto" w:fill="FFFFFF"/>
        </w:rPr>
        <w:t>(</w:t>
      </w:r>
      <w:r w:rsidRPr="0040246C">
        <w:rPr>
          <w:rFonts w:asciiTheme="minorHAnsi" w:hAnsiTheme="minorHAnsi"/>
          <w:color w:val="222222"/>
          <w:sz w:val="22"/>
          <w:shd w:val="clear" w:color="auto" w:fill="FFFFFF"/>
        </w:rPr>
        <w:t>considerando constasse ainda do estatuto da companhia</w:t>
      </w:r>
      <w:r w:rsidR="00FF1FBE" w:rsidRPr="0040246C">
        <w:rPr>
          <w:rFonts w:asciiTheme="minorHAnsi" w:hAnsiTheme="minorHAnsi"/>
          <w:color w:val="222222"/>
          <w:sz w:val="22"/>
          <w:shd w:val="clear" w:color="auto" w:fill="FFFFFF"/>
        </w:rPr>
        <w:t xml:space="preserve">) surtiria efeito? Explique. </w:t>
      </w:r>
      <w:r w:rsidR="00AB7773" w:rsidRPr="0040246C">
        <w:rPr>
          <w:rFonts w:asciiTheme="minorHAnsi" w:hAnsiTheme="minorHAnsi"/>
          <w:color w:val="FF0000"/>
          <w:shd w:val="clear" w:color="auto" w:fill="FFFFFF"/>
        </w:rPr>
        <w:t xml:space="preserve"> </w:t>
      </w:r>
    </w:p>
    <w:sectPr w:rsidR="00AB7773" w:rsidRPr="0040246C" w:rsidSect="001D0871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324" w:rsidRDefault="00754324" w:rsidP="001D0871">
      <w:pPr>
        <w:spacing w:after="0" w:line="240" w:lineRule="auto"/>
      </w:pPr>
      <w:r>
        <w:separator/>
      </w:r>
    </w:p>
  </w:endnote>
  <w:endnote w:type="continuationSeparator" w:id="0">
    <w:p w:rsidR="00754324" w:rsidRDefault="00754324" w:rsidP="001D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D14" w:rsidRPr="00F066AF" w:rsidRDefault="0040246C">
    <w:pPr>
      <w:pStyle w:val="Footer"/>
      <w:jc w:val="right"/>
      <w:rPr>
        <w:rFonts w:ascii="Times New Roman" w:hAnsi="Times New Roman"/>
      </w:rPr>
    </w:pPr>
    <w:r>
      <w:fldChar w:fldCharType="begin"/>
    </w:r>
    <w:r>
      <w:instrText>PAGE   \* MERGEFORMAT</w:instrText>
    </w:r>
    <w:r>
      <w:fldChar w:fldCharType="separate"/>
    </w:r>
    <w:r w:rsidRPr="0040246C">
      <w:rPr>
        <w:rFonts w:ascii="Times New Roman" w:hAnsi="Times New Roman"/>
        <w:noProof/>
      </w:rPr>
      <w:t>1</w:t>
    </w:r>
    <w:r>
      <w:rPr>
        <w:rFonts w:ascii="Times New Roman" w:hAnsi="Times New Roman"/>
        <w:noProof/>
      </w:rPr>
      <w:fldChar w:fldCharType="end"/>
    </w:r>
  </w:p>
  <w:p w:rsidR="00D33D14" w:rsidRDefault="00D33D1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324" w:rsidRDefault="00754324" w:rsidP="001D0871">
      <w:pPr>
        <w:spacing w:after="0" w:line="240" w:lineRule="auto"/>
      </w:pPr>
      <w:r>
        <w:separator/>
      </w:r>
    </w:p>
  </w:footnote>
  <w:footnote w:type="continuationSeparator" w:id="0">
    <w:p w:rsidR="00754324" w:rsidRDefault="00754324" w:rsidP="001D0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6CCCF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C5322A"/>
    <w:multiLevelType w:val="hybridMultilevel"/>
    <w:tmpl w:val="E1808A62"/>
    <w:lvl w:ilvl="0" w:tplc="16B45C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F067B"/>
    <w:multiLevelType w:val="hybridMultilevel"/>
    <w:tmpl w:val="6B60C5FE"/>
    <w:lvl w:ilvl="0" w:tplc="7BFACA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634A5"/>
    <w:multiLevelType w:val="hybridMultilevel"/>
    <w:tmpl w:val="D55EF218"/>
    <w:lvl w:ilvl="0" w:tplc="0D9EDE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93026"/>
    <w:multiLevelType w:val="hybridMultilevel"/>
    <w:tmpl w:val="6B60C5FE"/>
    <w:lvl w:ilvl="0" w:tplc="7BFACA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D011F"/>
    <w:multiLevelType w:val="hybridMultilevel"/>
    <w:tmpl w:val="6B60C5FE"/>
    <w:lvl w:ilvl="0" w:tplc="7BFACA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0761F"/>
    <w:multiLevelType w:val="hybridMultilevel"/>
    <w:tmpl w:val="6B60C5FE"/>
    <w:lvl w:ilvl="0" w:tplc="7BFACA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06CA3"/>
    <w:multiLevelType w:val="hybridMultilevel"/>
    <w:tmpl w:val="6B60C5FE"/>
    <w:lvl w:ilvl="0" w:tplc="7BFACA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F5FCA"/>
    <w:multiLevelType w:val="hybridMultilevel"/>
    <w:tmpl w:val="AC549C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40770"/>
    <w:multiLevelType w:val="hybridMultilevel"/>
    <w:tmpl w:val="9A24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A4E7B"/>
    <w:multiLevelType w:val="hybridMultilevel"/>
    <w:tmpl w:val="EA848DC8"/>
    <w:lvl w:ilvl="0" w:tplc="CEAC38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23925"/>
    <w:multiLevelType w:val="hybridMultilevel"/>
    <w:tmpl w:val="6B60C5FE"/>
    <w:lvl w:ilvl="0" w:tplc="7BFACA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20777B"/>
    <w:multiLevelType w:val="hybridMultilevel"/>
    <w:tmpl w:val="B396166E"/>
    <w:lvl w:ilvl="0" w:tplc="7496325E">
      <w:start w:val="1"/>
      <w:numFmt w:val="lowerLetter"/>
      <w:lvlText w:val="(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53BB6A7F"/>
    <w:multiLevelType w:val="multilevel"/>
    <w:tmpl w:val="F38CF83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F17F8E"/>
    <w:multiLevelType w:val="hybridMultilevel"/>
    <w:tmpl w:val="9B8021A2"/>
    <w:lvl w:ilvl="0" w:tplc="A4F6DF4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0E6786"/>
    <w:multiLevelType w:val="hybridMultilevel"/>
    <w:tmpl w:val="1B3A07AA"/>
    <w:lvl w:ilvl="0" w:tplc="64E07B42">
      <w:start w:val="2"/>
      <w:numFmt w:val="bullet"/>
      <w:lvlText w:val="-"/>
      <w:lvlJc w:val="left"/>
      <w:pPr>
        <w:ind w:left="644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5F9E01D9"/>
    <w:multiLevelType w:val="hybridMultilevel"/>
    <w:tmpl w:val="794CEF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1A1BC1"/>
    <w:multiLevelType w:val="hybridMultilevel"/>
    <w:tmpl w:val="FD8C8F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AE431C"/>
    <w:multiLevelType w:val="hybridMultilevel"/>
    <w:tmpl w:val="9B8021A2"/>
    <w:lvl w:ilvl="0" w:tplc="A4F6DF4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DC45FF"/>
    <w:multiLevelType w:val="hybridMultilevel"/>
    <w:tmpl w:val="6B60C5FE"/>
    <w:lvl w:ilvl="0" w:tplc="7BFACA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013516"/>
    <w:multiLevelType w:val="hybridMultilevel"/>
    <w:tmpl w:val="6B60C5FE"/>
    <w:lvl w:ilvl="0" w:tplc="7BFACA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F5107E"/>
    <w:multiLevelType w:val="multilevel"/>
    <w:tmpl w:val="ADFC265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74F82C5B"/>
    <w:multiLevelType w:val="hybridMultilevel"/>
    <w:tmpl w:val="6B60C5FE"/>
    <w:lvl w:ilvl="0" w:tplc="7BFACA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4C20D8"/>
    <w:multiLevelType w:val="hybridMultilevel"/>
    <w:tmpl w:val="F38CF830"/>
    <w:lvl w:ilvl="0" w:tplc="34FE5ED8">
      <w:start w:val="1"/>
      <w:numFmt w:val="decimal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8"/>
  </w:num>
  <w:num w:numId="4">
    <w:abstractNumId w:val="17"/>
  </w:num>
  <w:num w:numId="5">
    <w:abstractNumId w:val="3"/>
  </w:num>
  <w:num w:numId="6">
    <w:abstractNumId w:val="9"/>
  </w:num>
  <w:num w:numId="7">
    <w:abstractNumId w:val="15"/>
  </w:num>
  <w:num w:numId="8">
    <w:abstractNumId w:val="1"/>
  </w:num>
  <w:num w:numId="9">
    <w:abstractNumId w:val="20"/>
  </w:num>
  <w:num w:numId="10">
    <w:abstractNumId w:val="10"/>
  </w:num>
  <w:num w:numId="11">
    <w:abstractNumId w:val="2"/>
  </w:num>
  <w:num w:numId="12">
    <w:abstractNumId w:val="6"/>
  </w:num>
  <w:num w:numId="13">
    <w:abstractNumId w:val="22"/>
  </w:num>
  <w:num w:numId="14">
    <w:abstractNumId w:val="19"/>
  </w:num>
  <w:num w:numId="15">
    <w:abstractNumId w:val="11"/>
  </w:num>
  <w:num w:numId="16">
    <w:abstractNumId w:val="7"/>
  </w:num>
  <w:num w:numId="17">
    <w:abstractNumId w:val="14"/>
  </w:num>
  <w:num w:numId="18">
    <w:abstractNumId w:val="12"/>
  </w:num>
  <w:num w:numId="19">
    <w:abstractNumId w:val="18"/>
  </w:num>
  <w:num w:numId="20">
    <w:abstractNumId w:val="0"/>
  </w:num>
  <w:num w:numId="21">
    <w:abstractNumId w:val="4"/>
  </w:num>
  <w:num w:numId="22">
    <w:abstractNumId w:val="5"/>
  </w:num>
  <w:num w:numId="23">
    <w:abstractNumId w:val="2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12"/>
    <w:rsid w:val="00002E91"/>
    <w:rsid w:val="000039AA"/>
    <w:rsid w:val="000132A1"/>
    <w:rsid w:val="000275BA"/>
    <w:rsid w:val="00043A6A"/>
    <w:rsid w:val="00096F77"/>
    <w:rsid w:val="000C7E16"/>
    <w:rsid w:val="000E51CB"/>
    <w:rsid w:val="00103C1F"/>
    <w:rsid w:val="0011712A"/>
    <w:rsid w:val="001427B2"/>
    <w:rsid w:val="001735F9"/>
    <w:rsid w:val="0019322C"/>
    <w:rsid w:val="001A219B"/>
    <w:rsid w:val="001B08CB"/>
    <w:rsid w:val="001D0871"/>
    <w:rsid w:val="001F746A"/>
    <w:rsid w:val="00212B79"/>
    <w:rsid w:val="00213F9F"/>
    <w:rsid w:val="002573DF"/>
    <w:rsid w:val="00282174"/>
    <w:rsid w:val="00291851"/>
    <w:rsid w:val="002B78CF"/>
    <w:rsid w:val="00320E97"/>
    <w:rsid w:val="0033667D"/>
    <w:rsid w:val="00344596"/>
    <w:rsid w:val="00367BF2"/>
    <w:rsid w:val="003A42A9"/>
    <w:rsid w:val="003D4C35"/>
    <w:rsid w:val="0040246C"/>
    <w:rsid w:val="00423C00"/>
    <w:rsid w:val="0042612C"/>
    <w:rsid w:val="00471533"/>
    <w:rsid w:val="0048511D"/>
    <w:rsid w:val="00485522"/>
    <w:rsid w:val="004A6E26"/>
    <w:rsid w:val="004E3E84"/>
    <w:rsid w:val="004F705C"/>
    <w:rsid w:val="00593DBA"/>
    <w:rsid w:val="005A70C8"/>
    <w:rsid w:val="005F7291"/>
    <w:rsid w:val="00640ED0"/>
    <w:rsid w:val="00652612"/>
    <w:rsid w:val="006B61E2"/>
    <w:rsid w:val="006E29A0"/>
    <w:rsid w:val="006F48FA"/>
    <w:rsid w:val="00722119"/>
    <w:rsid w:val="00743B05"/>
    <w:rsid w:val="00747982"/>
    <w:rsid w:val="00754324"/>
    <w:rsid w:val="007E3FD5"/>
    <w:rsid w:val="00831B0D"/>
    <w:rsid w:val="0083581C"/>
    <w:rsid w:val="00840A40"/>
    <w:rsid w:val="008449CE"/>
    <w:rsid w:val="008A1520"/>
    <w:rsid w:val="008C43BE"/>
    <w:rsid w:val="008D1D4B"/>
    <w:rsid w:val="008D6278"/>
    <w:rsid w:val="008E3830"/>
    <w:rsid w:val="008F78EB"/>
    <w:rsid w:val="009176E7"/>
    <w:rsid w:val="009E6FA8"/>
    <w:rsid w:val="00A341E2"/>
    <w:rsid w:val="00A56F5D"/>
    <w:rsid w:val="00A73E59"/>
    <w:rsid w:val="00AA09A5"/>
    <w:rsid w:val="00AA5882"/>
    <w:rsid w:val="00AA75A1"/>
    <w:rsid w:val="00AB00AA"/>
    <w:rsid w:val="00AB7773"/>
    <w:rsid w:val="00B077F0"/>
    <w:rsid w:val="00B07FB3"/>
    <w:rsid w:val="00B235CF"/>
    <w:rsid w:val="00B5254B"/>
    <w:rsid w:val="00B53017"/>
    <w:rsid w:val="00B83292"/>
    <w:rsid w:val="00B94CE1"/>
    <w:rsid w:val="00C1014B"/>
    <w:rsid w:val="00C67AF9"/>
    <w:rsid w:val="00CE169A"/>
    <w:rsid w:val="00D003CD"/>
    <w:rsid w:val="00D33D14"/>
    <w:rsid w:val="00D43D9D"/>
    <w:rsid w:val="00DE6FBC"/>
    <w:rsid w:val="00E13ECF"/>
    <w:rsid w:val="00E34812"/>
    <w:rsid w:val="00E7465F"/>
    <w:rsid w:val="00E915BF"/>
    <w:rsid w:val="00E93DCB"/>
    <w:rsid w:val="00E9784F"/>
    <w:rsid w:val="00EC7319"/>
    <w:rsid w:val="00F218D7"/>
    <w:rsid w:val="00F5733D"/>
    <w:rsid w:val="00F63A1F"/>
    <w:rsid w:val="00FF1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26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65261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52612"/>
    <w:rPr>
      <w:color w:val="800080"/>
      <w:u w:val="single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BC4FF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BalloonText"/>
    <w:uiPriority w:val="99"/>
    <w:semiHidden/>
    <w:rsid w:val="00BC4FF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93E7A"/>
  </w:style>
  <w:style w:type="paragraph" w:styleId="ListParagraph">
    <w:name w:val="List Paragraph"/>
    <w:basedOn w:val="Normal"/>
    <w:uiPriority w:val="34"/>
    <w:qFormat/>
    <w:rsid w:val="002241CE"/>
    <w:pPr>
      <w:spacing w:after="0" w:line="240" w:lineRule="auto"/>
      <w:ind w:left="720"/>
      <w:contextualSpacing/>
    </w:pPr>
    <w:rPr>
      <w:rFonts w:ascii="Cambria" w:eastAsia="Cambria" w:hAnsi="Cambria"/>
      <w:noProof/>
      <w:sz w:val="24"/>
      <w:szCs w:val="24"/>
    </w:rPr>
  </w:style>
  <w:style w:type="paragraph" w:styleId="Header">
    <w:name w:val="header"/>
    <w:basedOn w:val="Normal"/>
    <w:link w:val="CabealhoChar"/>
    <w:uiPriority w:val="99"/>
    <w:unhideWhenUsed/>
    <w:rsid w:val="00F066AF"/>
    <w:pPr>
      <w:tabs>
        <w:tab w:val="center" w:pos="4252"/>
        <w:tab w:val="right" w:pos="8504"/>
      </w:tabs>
      <w:spacing w:after="0" w:line="240" w:lineRule="auto"/>
    </w:pPr>
    <w:rPr>
      <w:lang w:val="x-none"/>
    </w:rPr>
  </w:style>
  <w:style w:type="character" w:customStyle="1" w:styleId="CabealhoChar">
    <w:name w:val="Cabeçalho Char"/>
    <w:link w:val="Header"/>
    <w:uiPriority w:val="99"/>
    <w:rsid w:val="00F066AF"/>
    <w:rPr>
      <w:sz w:val="22"/>
      <w:szCs w:val="22"/>
      <w:lang w:eastAsia="en-US"/>
    </w:rPr>
  </w:style>
  <w:style w:type="paragraph" w:styleId="Footer">
    <w:name w:val="footer"/>
    <w:basedOn w:val="Normal"/>
    <w:link w:val="RodapChar"/>
    <w:uiPriority w:val="99"/>
    <w:unhideWhenUsed/>
    <w:rsid w:val="00F066AF"/>
    <w:pPr>
      <w:tabs>
        <w:tab w:val="center" w:pos="4252"/>
        <w:tab w:val="right" w:pos="8504"/>
      </w:tabs>
      <w:spacing w:after="0" w:line="240" w:lineRule="auto"/>
    </w:pPr>
    <w:rPr>
      <w:lang w:val="x-none"/>
    </w:rPr>
  </w:style>
  <w:style w:type="character" w:customStyle="1" w:styleId="RodapChar">
    <w:name w:val="Rodapé Char"/>
    <w:link w:val="Footer"/>
    <w:uiPriority w:val="99"/>
    <w:rsid w:val="00F066AF"/>
    <w:rPr>
      <w:sz w:val="22"/>
      <w:szCs w:val="22"/>
      <w:lang w:eastAsia="en-US"/>
    </w:rPr>
  </w:style>
  <w:style w:type="paragraph" w:styleId="FootnoteText">
    <w:name w:val="footnote text"/>
    <w:basedOn w:val="Normal"/>
    <w:link w:val="TextodenotaderodapChar"/>
    <w:uiPriority w:val="99"/>
    <w:unhideWhenUsed/>
    <w:rsid w:val="0024287B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FootnoteText"/>
    <w:uiPriority w:val="99"/>
    <w:rsid w:val="0024287B"/>
    <w:rPr>
      <w:lang w:eastAsia="en-US"/>
    </w:rPr>
  </w:style>
  <w:style w:type="character" w:styleId="FootnoteReference">
    <w:name w:val="footnote reference"/>
    <w:uiPriority w:val="99"/>
    <w:unhideWhenUsed/>
    <w:rsid w:val="0024287B"/>
    <w:rPr>
      <w:vertAlign w:val="superscript"/>
    </w:rPr>
  </w:style>
  <w:style w:type="paragraph" w:customStyle="1" w:styleId="Body1">
    <w:name w:val="Body 1"/>
    <w:basedOn w:val="Normal"/>
    <w:rsid w:val="007A54CA"/>
    <w:pPr>
      <w:spacing w:after="140" w:line="290" w:lineRule="auto"/>
      <w:ind w:left="680"/>
      <w:jc w:val="both"/>
    </w:pPr>
    <w:rPr>
      <w:rFonts w:ascii="Arial" w:eastAsia="Times New Roman" w:hAnsi="Arial"/>
      <w:kern w:val="20"/>
      <w:sz w:val="20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26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65261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52612"/>
    <w:rPr>
      <w:color w:val="800080"/>
      <w:u w:val="single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BC4FF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BalloonText"/>
    <w:uiPriority w:val="99"/>
    <w:semiHidden/>
    <w:rsid w:val="00BC4FF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93E7A"/>
  </w:style>
  <w:style w:type="paragraph" w:styleId="ListParagraph">
    <w:name w:val="List Paragraph"/>
    <w:basedOn w:val="Normal"/>
    <w:uiPriority w:val="34"/>
    <w:qFormat/>
    <w:rsid w:val="002241CE"/>
    <w:pPr>
      <w:spacing w:after="0" w:line="240" w:lineRule="auto"/>
      <w:ind w:left="720"/>
      <w:contextualSpacing/>
    </w:pPr>
    <w:rPr>
      <w:rFonts w:ascii="Cambria" w:eastAsia="Cambria" w:hAnsi="Cambria"/>
      <w:noProof/>
      <w:sz w:val="24"/>
      <w:szCs w:val="24"/>
    </w:rPr>
  </w:style>
  <w:style w:type="paragraph" w:styleId="Header">
    <w:name w:val="header"/>
    <w:basedOn w:val="Normal"/>
    <w:link w:val="CabealhoChar"/>
    <w:uiPriority w:val="99"/>
    <w:unhideWhenUsed/>
    <w:rsid w:val="00F066AF"/>
    <w:pPr>
      <w:tabs>
        <w:tab w:val="center" w:pos="4252"/>
        <w:tab w:val="right" w:pos="8504"/>
      </w:tabs>
      <w:spacing w:after="0" w:line="240" w:lineRule="auto"/>
    </w:pPr>
    <w:rPr>
      <w:lang w:val="x-none"/>
    </w:rPr>
  </w:style>
  <w:style w:type="character" w:customStyle="1" w:styleId="CabealhoChar">
    <w:name w:val="Cabeçalho Char"/>
    <w:link w:val="Header"/>
    <w:uiPriority w:val="99"/>
    <w:rsid w:val="00F066AF"/>
    <w:rPr>
      <w:sz w:val="22"/>
      <w:szCs w:val="22"/>
      <w:lang w:eastAsia="en-US"/>
    </w:rPr>
  </w:style>
  <w:style w:type="paragraph" w:styleId="Footer">
    <w:name w:val="footer"/>
    <w:basedOn w:val="Normal"/>
    <w:link w:val="RodapChar"/>
    <w:uiPriority w:val="99"/>
    <w:unhideWhenUsed/>
    <w:rsid w:val="00F066AF"/>
    <w:pPr>
      <w:tabs>
        <w:tab w:val="center" w:pos="4252"/>
        <w:tab w:val="right" w:pos="8504"/>
      </w:tabs>
      <w:spacing w:after="0" w:line="240" w:lineRule="auto"/>
    </w:pPr>
    <w:rPr>
      <w:lang w:val="x-none"/>
    </w:rPr>
  </w:style>
  <w:style w:type="character" w:customStyle="1" w:styleId="RodapChar">
    <w:name w:val="Rodapé Char"/>
    <w:link w:val="Footer"/>
    <w:uiPriority w:val="99"/>
    <w:rsid w:val="00F066AF"/>
    <w:rPr>
      <w:sz w:val="22"/>
      <w:szCs w:val="22"/>
      <w:lang w:eastAsia="en-US"/>
    </w:rPr>
  </w:style>
  <w:style w:type="paragraph" w:styleId="FootnoteText">
    <w:name w:val="footnote text"/>
    <w:basedOn w:val="Normal"/>
    <w:link w:val="TextodenotaderodapChar"/>
    <w:uiPriority w:val="99"/>
    <w:unhideWhenUsed/>
    <w:rsid w:val="0024287B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FootnoteText"/>
    <w:uiPriority w:val="99"/>
    <w:rsid w:val="0024287B"/>
    <w:rPr>
      <w:lang w:eastAsia="en-US"/>
    </w:rPr>
  </w:style>
  <w:style w:type="character" w:styleId="FootnoteReference">
    <w:name w:val="footnote reference"/>
    <w:uiPriority w:val="99"/>
    <w:unhideWhenUsed/>
    <w:rsid w:val="0024287B"/>
    <w:rPr>
      <w:vertAlign w:val="superscript"/>
    </w:rPr>
  </w:style>
  <w:style w:type="paragraph" w:customStyle="1" w:styleId="Body1">
    <w:name w:val="Body 1"/>
    <w:basedOn w:val="Normal"/>
    <w:rsid w:val="007A54CA"/>
    <w:pPr>
      <w:spacing w:after="140" w:line="290" w:lineRule="auto"/>
      <w:ind w:left="680"/>
      <w:jc w:val="both"/>
    </w:pPr>
    <w:rPr>
      <w:rFonts w:ascii="Arial" w:eastAsia="Times New Roman" w:hAnsi="Arial"/>
      <w:kern w:val="20"/>
      <w:sz w:val="2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34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7279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13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9B7068-4FFD-5045-B897-4AAEEAB5C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4300</Characters>
  <Application>Microsoft Macintosh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Andrade</dc:creator>
  <cp:lastModifiedBy>E Munhoz Advogados11</cp:lastModifiedBy>
  <cp:revision>2</cp:revision>
  <cp:lastPrinted>2014-04-29T15:17:00Z</cp:lastPrinted>
  <dcterms:created xsi:type="dcterms:W3CDTF">2016-11-10T10:39:00Z</dcterms:created>
  <dcterms:modified xsi:type="dcterms:W3CDTF">2016-11-10T10:39:00Z</dcterms:modified>
</cp:coreProperties>
</file>