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0090" w:rsidRDefault="00DD3951">
      <w:pPr>
        <w:spacing w:line="360" w:lineRule="auto"/>
        <w:jc w:val="both"/>
      </w:pPr>
      <w:r>
        <w:rPr>
          <w:rFonts w:ascii="Times New Roman" w:eastAsia="Times New Roman" w:hAnsi="Times New Roman" w:cs="Times New Roman"/>
          <w:color w:val="3E454C"/>
          <w:sz w:val="32"/>
        </w:rPr>
        <w:t>CASO PRÁTICO 9 – PROPRIEDADE INTELECTUAL</w:t>
      </w:r>
    </w:p>
    <w:p w:rsidR="00E90090" w:rsidRDefault="00E90090">
      <w:pPr>
        <w:spacing w:line="360" w:lineRule="auto"/>
        <w:jc w:val="both"/>
      </w:pPr>
    </w:p>
    <w:p w:rsidR="00E90090" w:rsidRDefault="00DD3951">
      <w:pPr>
        <w:spacing w:line="360" w:lineRule="auto"/>
        <w:jc w:val="both"/>
      </w:pPr>
      <w:r>
        <w:rPr>
          <w:rFonts w:ascii="Times New Roman" w:eastAsia="Times New Roman" w:hAnsi="Times New Roman" w:cs="Times New Roman"/>
          <w:color w:val="3E454C"/>
          <w:sz w:val="24"/>
        </w:rPr>
        <w:t>Tício e Mévio são dois cientistas recém-graduados  e têm grandes aspirações em suas vidas profissioniais. Os dois trabalham em diferentes áreas. Depois de alguns anos, decidem compartilhar suas experiências como pesquisadores. Tício, após inúmeros estudos e uma vasta observação nas terras da Amazônia, descobre uma planta até então desconhecida. À primeira vista, ele percebeu que a planta tinha propriedades terapêuticas e poderia ser utilizada na produção de um medicamento extremamente lucrativo. Tício, no intuito de possuir exclusividade da exploração do potencial dessa espécie vegetal, procurou “depositar uma patente” para eliminar uma futura concorrência.</w:t>
      </w:r>
    </w:p>
    <w:p w:rsidR="00E90090" w:rsidRDefault="00DD3951">
      <w:pPr>
        <w:spacing w:line="360" w:lineRule="auto"/>
        <w:jc w:val="both"/>
      </w:pPr>
      <w:r>
        <w:rPr>
          <w:rFonts w:ascii="Times New Roman" w:eastAsia="Times New Roman" w:hAnsi="Times New Roman" w:cs="Times New Roman"/>
          <w:color w:val="3E454C"/>
          <w:sz w:val="24"/>
        </w:rPr>
        <w:t xml:space="preserve"> Mévio, por outro lado, foi contratado como estagiário pela empresa Gama Systems S.A. Técnico em eletrônica e autodidata, no período de intervalo intrajornada de trabalho, permanecia no laboratório da empresa, no qual se encontrava a linha de montagem e de desenvolvimento de componentes e software para smartphones. Constantemente, após o término da sua jornada de trabalho, permanecia na empresa, onde tinha acesso, por meio de outros empregados do setor, a máquinas e ferramentas de última geração, imprescindíveis à ciência eletrônica e ao desenvolvimento de componentes de hardware de ponta. Usando tais ferramentas, Mévio desenvolveu uma espécie de minibateria à base de energia solar, própria para smartphones, que garante, mediante a exposição à luz por apenas cinco minutos, a utilização desses gadgets pelo período de doze horas. Por se tratar de um produto inovador, Mévio pretende protegê-lo de acordo com a tutela da propriedade industrial. </w:t>
      </w:r>
    </w:p>
    <w:p w:rsidR="00E90090" w:rsidRDefault="00DD3951">
      <w:pPr>
        <w:spacing w:line="360" w:lineRule="auto"/>
        <w:jc w:val="both"/>
      </w:pPr>
      <w:r>
        <w:rPr>
          <w:rFonts w:ascii="Times New Roman" w:eastAsia="Times New Roman" w:hAnsi="Times New Roman" w:cs="Times New Roman"/>
          <w:color w:val="3E454C"/>
          <w:sz w:val="24"/>
        </w:rPr>
        <w:t>Empolgados com a lucratividade que tais inovações poderiam proporcionar, os dois amigos decidem contratar um advogado para possuir total conhecimento dos seus direitos de propriedade em relação as suas descobertas. Se você fosse advogado, que orientação daria à Tício e Mévio? Fundamente-a.</w:t>
      </w:r>
    </w:p>
    <w:p w:rsidR="00E90090" w:rsidRDefault="00E90090">
      <w:pPr>
        <w:spacing w:after="75" w:line="360" w:lineRule="auto"/>
        <w:jc w:val="both"/>
      </w:pPr>
    </w:p>
    <w:p w:rsidR="00E90090" w:rsidRDefault="00E90090">
      <w:pPr>
        <w:spacing w:after="75" w:line="360" w:lineRule="auto"/>
        <w:jc w:val="both"/>
      </w:pPr>
    </w:p>
    <w:p w:rsidR="00E90090" w:rsidRDefault="00E90090">
      <w:pPr>
        <w:spacing w:after="75" w:line="360" w:lineRule="auto"/>
        <w:jc w:val="both"/>
      </w:pPr>
    </w:p>
    <w:p w:rsidR="00E90090" w:rsidRDefault="00E90090">
      <w:pPr>
        <w:spacing w:after="75" w:line="360" w:lineRule="auto"/>
        <w:jc w:val="both"/>
      </w:pPr>
    </w:p>
    <w:p w:rsidR="00E90090" w:rsidRDefault="00DD3951">
      <w:pPr>
        <w:spacing w:after="75" w:line="360" w:lineRule="auto"/>
        <w:jc w:val="both"/>
      </w:pPr>
      <w:r>
        <w:rPr>
          <w:rFonts w:ascii="Times New Roman" w:eastAsia="Times New Roman" w:hAnsi="Times New Roman" w:cs="Times New Roman"/>
          <w:color w:val="3E454C"/>
          <w:sz w:val="24"/>
        </w:rPr>
        <w:lastRenderedPageBreak/>
        <w:t>Questões jurídicas relevantes:</w:t>
      </w:r>
    </w:p>
    <w:p w:rsidR="00E90090" w:rsidRDefault="00E90090">
      <w:pPr>
        <w:spacing w:after="75" w:line="360" w:lineRule="auto"/>
        <w:jc w:val="both"/>
      </w:pPr>
    </w:p>
    <w:p w:rsidR="00E90090" w:rsidRDefault="00E90090">
      <w:pPr>
        <w:spacing w:after="75" w:line="360" w:lineRule="auto"/>
        <w:jc w:val="both"/>
      </w:pPr>
    </w:p>
    <w:p w:rsidR="00E90090" w:rsidRPr="00B221B7" w:rsidRDefault="00B221B7" w:rsidP="00B221B7">
      <w:pPr>
        <w:spacing w:after="75" w:line="360" w:lineRule="auto"/>
        <w:jc w:val="both"/>
        <w:rPr>
          <w:rFonts w:ascii="Times New Roman" w:hAnsi="Times New Roman" w:cs="Times New Roman"/>
          <w:color w:val="auto"/>
          <w:sz w:val="24"/>
          <w:szCs w:val="24"/>
        </w:rPr>
      </w:pPr>
      <w:r w:rsidRPr="00B221B7">
        <w:rPr>
          <w:rFonts w:ascii="Times New Roman" w:eastAsia="Times New Roman" w:hAnsi="Times New Roman" w:cs="Times New Roman"/>
          <w:b/>
          <w:color w:val="auto"/>
          <w:sz w:val="24"/>
          <w:szCs w:val="24"/>
        </w:rPr>
        <w:t>1</w:t>
      </w:r>
      <w:r w:rsidR="00DD3951" w:rsidRPr="00B221B7">
        <w:rPr>
          <w:rFonts w:ascii="Times New Roman" w:eastAsia="Times New Roman" w:hAnsi="Times New Roman" w:cs="Times New Roman"/>
          <w:b/>
          <w:color w:val="auto"/>
          <w:sz w:val="24"/>
          <w:szCs w:val="24"/>
        </w:rPr>
        <w:t xml:space="preserve">) </w:t>
      </w:r>
      <w:r w:rsidR="00DD3951" w:rsidRPr="00B221B7">
        <w:rPr>
          <w:rFonts w:ascii="Times New Roman" w:eastAsia="Times New Roman" w:hAnsi="Times New Roman" w:cs="Times New Roman"/>
          <w:b/>
          <w:color w:val="auto"/>
          <w:sz w:val="24"/>
          <w:szCs w:val="24"/>
          <w:shd w:val="clear" w:color="auto" w:fill="F7F7F7"/>
        </w:rPr>
        <w:t>A planta recém descoberta por Tício pode ser patenteada?</w:t>
      </w:r>
      <w:r w:rsidR="00DB1213">
        <w:rPr>
          <w:rStyle w:val="FootnoteReference"/>
          <w:rFonts w:ascii="Times New Roman" w:eastAsia="Times New Roman" w:hAnsi="Times New Roman" w:cs="Times New Roman"/>
          <w:color w:val="auto"/>
          <w:sz w:val="24"/>
          <w:szCs w:val="24"/>
          <w:shd w:val="clear" w:color="auto" w:fill="F7F7F7"/>
        </w:rPr>
        <w:footnoteReference w:id="1"/>
      </w:r>
    </w:p>
    <w:p w:rsidR="00DB1213" w:rsidRDefault="00DD3951" w:rsidP="00B221B7">
      <w:pPr>
        <w:spacing w:after="75" w:line="360" w:lineRule="auto"/>
        <w:jc w:val="both"/>
        <w:rPr>
          <w:rFonts w:ascii="Times New Roman" w:eastAsia="Times New Roman" w:hAnsi="Times New Roman" w:cs="Times New Roman"/>
          <w:b/>
          <w:color w:val="auto"/>
          <w:sz w:val="24"/>
          <w:szCs w:val="24"/>
          <w:shd w:val="clear" w:color="auto" w:fill="F7F7F7"/>
        </w:rPr>
      </w:pPr>
      <w:r w:rsidRPr="00B221B7">
        <w:rPr>
          <w:rFonts w:ascii="Times New Roman" w:eastAsia="Times New Roman" w:hAnsi="Times New Roman" w:cs="Times New Roman"/>
          <w:b/>
          <w:color w:val="auto"/>
          <w:sz w:val="24"/>
          <w:szCs w:val="24"/>
          <w:shd w:val="clear" w:color="auto" w:fill="F7F7F7"/>
        </w:rPr>
        <w:t xml:space="preserve"> </w:t>
      </w:r>
    </w:p>
    <w:p w:rsidR="00E90090" w:rsidRDefault="00075763" w:rsidP="00B221B7">
      <w:pPr>
        <w:spacing w:after="75" w:line="360" w:lineRule="auto"/>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w:t>
      </w:r>
      <w:r w:rsidR="00DD3951" w:rsidRPr="00B221B7">
        <w:rPr>
          <w:rFonts w:ascii="Times New Roman" w:eastAsia="Times New Roman" w:hAnsi="Times New Roman" w:cs="Times New Roman"/>
          <w:b/>
          <w:color w:val="auto"/>
          <w:sz w:val="24"/>
          <w:szCs w:val="24"/>
        </w:rPr>
        <w:t>) Quais os requisitos legais para a concessão da patente e dada a natureza da criação de Mévio, como a proteção ao produto ocorrerá?</w:t>
      </w:r>
    </w:p>
    <w:p w:rsidR="00E90090" w:rsidRPr="00B221B7" w:rsidRDefault="00E90090" w:rsidP="00B221B7">
      <w:pPr>
        <w:spacing w:after="75" w:line="360" w:lineRule="auto"/>
        <w:jc w:val="both"/>
        <w:rPr>
          <w:rFonts w:ascii="Times New Roman" w:hAnsi="Times New Roman" w:cs="Times New Roman"/>
          <w:color w:val="auto"/>
          <w:sz w:val="24"/>
          <w:szCs w:val="24"/>
        </w:rPr>
      </w:pPr>
      <w:bookmarkStart w:id="0" w:name="_GoBack"/>
      <w:bookmarkEnd w:id="0"/>
    </w:p>
    <w:p w:rsidR="00E90090" w:rsidRPr="00B221B7" w:rsidRDefault="00B221B7" w:rsidP="00B221B7">
      <w:pPr>
        <w:spacing w:after="75" w:line="360" w:lineRule="auto"/>
        <w:jc w:val="both"/>
        <w:rPr>
          <w:rFonts w:ascii="Times New Roman" w:eastAsia="Times New Roman" w:hAnsi="Times New Roman" w:cs="Times New Roman"/>
          <w:b/>
          <w:color w:val="auto"/>
          <w:sz w:val="24"/>
          <w:szCs w:val="24"/>
        </w:rPr>
      </w:pPr>
      <w:r w:rsidRPr="00B221B7">
        <w:rPr>
          <w:rFonts w:ascii="Times New Roman" w:eastAsia="Times New Roman" w:hAnsi="Times New Roman" w:cs="Times New Roman"/>
          <w:b/>
          <w:color w:val="auto"/>
          <w:sz w:val="24"/>
          <w:szCs w:val="24"/>
        </w:rPr>
        <w:t>3</w:t>
      </w:r>
      <w:r w:rsidR="00DD3951" w:rsidRPr="00B221B7">
        <w:rPr>
          <w:rFonts w:ascii="Times New Roman" w:eastAsia="Times New Roman" w:hAnsi="Times New Roman" w:cs="Times New Roman"/>
          <w:b/>
          <w:color w:val="auto"/>
          <w:sz w:val="24"/>
          <w:szCs w:val="24"/>
        </w:rPr>
        <w:t>) Haverá titularidade e legitimidade da pretensão de Mévio em relação a ev</w:t>
      </w:r>
      <w:r w:rsidR="00F9792C" w:rsidRPr="00B221B7">
        <w:rPr>
          <w:rFonts w:ascii="Times New Roman" w:eastAsia="Times New Roman" w:hAnsi="Times New Roman" w:cs="Times New Roman"/>
          <w:b/>
          <w:color w:val="auto"/>
          <w:sz w:val="24"/>
          <w:szCs w:val="24"/>
        </w:rPr>
        <w:t>entual titularidade</w:t>
      </w:r>
      <w:r w:rsidR="00DD3951" w:rsidRPr="00B221B7">
        <w:rPr>
          <w:rFonts w:ascii="Times New Roman" w:eastAsia="Times New Roman" w:hAnsi="Times New Roman" w:cs="Times New Roman"/>
          <w:b/>
          <w:color w:val="auto"/>
          <w:sz w:val="24"/>
          <w:szCs w:val="24"/>
        </w:rPr>
        <w:t xml:space="preserve"> do seu empregador sobre o produto desenvolvido?</w:t>
      </w:r>
    </w:p>
    <w:p w:rsidR="00DB1213" w:rsidRDefault="00DB1213" w:rsidP="00B221B7">
      <w:pPr>
        <w:shd w:val="clear" w:color="auto" w:fill="FFFFFF"/>
        <w:spacing w:line="360" w:lineRule="auto"/>
        <w:jc w:val="both"/>
        <w:rPr>
          <w:rFonts w:ascii="Times New Roman" w:eastAsia="Times New Roman" w:hAnsi="Times New Roman" w:cs="Times New Roman"/>
          <w:b/>
          <w:color w:val="auto"/>
          <w:sz w:val="24"/>
          <w:szCs w:val="24"/>
        </w:rPr>
      </w:pPr>
    </w:p>
    <w:p w:rsidR="004F3F25" w:rsidRPr="00DB1213" w:rsidRDefault="004F3F25" w:rsidP="00B221B7">
      <w:pPr>
        <w:shd w:val="clear" w:color="auto" w:fill="FFFFFF"/>
        <w:spacing w:line="360" w:lineRule="auto"/>
        <w:jc w:val="both"/>
        <w:rPr>
          <w:rFonts w:ascii="Times New Roman" w:hAnsi="Times New Roman" w:cs="Times New Roman"/>
          <w:b/>
          <w:color w:val="auto"/>
          <w:sz w:val="24"/>
          <w:szCs w:val="24"/>
          <w:shd w:val="clear" w:color="auto" w:fill="FFFFFF"/>
        </w:rPr>
      </w:pPr>
      <w:r w:rsidRPr="00DB1213">
        <w:rPr>
          <w:rFonts w:ascii="Times New Roman" w:eastAsia="Times New Roman" w:hAnsi="Times New Roman" w:cs="Times New Roman"/>
          <w:b/>
          <w:color w:val="auto"/>
          <w:sz w:val="24"/>
          <w:szCs w:val="24"/>
        </w:rPr>
        <w:t>4)</w:t>
      </w:r>
      <w:r w:rsidRPr="00DB1213">
        <w:rPr>
          <w:rFonts w:ascii="Arial" w:hAnsi="Arial" w:cs="Arial"/>
          <w:color w:val="auto"/>
          <w:sz w:val="19"/>
          <w:szCs w:val="19"/>
          <w:shd w:val="clear" w:color="auto" w:fill="FFFFFF"/>
        </w:rPr>
        <w:t xml:space="preserve"> </w:t>
      </w:r>
      <w:r w:rsidRPr="00DB1213">
        <w:rPr>
          <w:rFonts w:ascii="Times New Roman" w:hAnsi="Times New Roman" w:cs="Times New Roman"/>
          <w:b/>
          <w:color w:val="auto"/>
          <w:sz w:val="24"/>
          <w:szCs w:val="24"/>
          <w:shd w:val="clear" w:color="auto" w:fill="FFFFFF"/>
        </w:rPr>
        <w:t xml:space="preserve">Se Mévio resolver publicar em revista científica o resultado da sua pesquisa inventiva, a </w:t>
      </w:r>
      <w:r w:rsidRPr="00DB1213">
        <w:rPr>
          <w:rFonts w:ascii="Times New Roman" w:hAnsi="Times New Roman" w:cs="Times New Roman"/>
          <w:b/>
          <w:color w:val="auto"/>
          <w:sz w:val="24"/>
          <w:szCs w:val="24"/>
          <w:shd w:val="clear" w:color="auto" w:fill="FFFFFF"/>
        </w:rPr>
        <w:t>Gama Systems</w:t>
      </w:r>
      <w:r w:rsidRPr="00DB1213">
        <w:rPr>
          <w:rFonts w:ascii="Times New Roman" w:hAnsi="Times New Roman" w:cs="Times New Roman"/>
          <w:b/>
          <w:color w:val="auto"/>
          <w:sz w:val="24"/>
          <w:szCs w:val="24"/>
          <w:shd w:val="clear" w:color="auto" w:fill="FFFFFF"/>
        </w:rPr>
        <w:t xml:space="preserve"> terá algum direito sobre a obra?</w:t>
      </w:r>
    </w:p>
    <w:p w:rsidR="004F3F25" w:rsidRPr="005B0F6F" w:rsidRDefault="004F3F25" w:rsidP="00B221B7">
      <w:pPr>
        <w:shd w:val="clear" w:color="auto" w:fill="FFFFFF"/>
        <w:spacing w:line="360" w:lineRule="auto"/>
        <w:jc w:val="both"/>
        <w:rPr>
          <w:rFonts w:ascii="Times New Roman" w:eastAsia="Times New Roman" w:hAnsi="Times New Roman" w:cs="Times New Roman"/>
          <w:b/>
          <w:color w:val="auto"/>
          <w:sz w:val="24"/>
          <w:szCs w:val="24"/>
        </w:rPr>
      </w:pPr>
    </w:p>
    <w:p w:rsidR="00F9792C" w:rsidRPr="005B0F6F" w:rsidRDefault="00F9792C" w:rsidP="005B0F6F">
      <w:pPr>
        <w:shd w:val="clear" w:color="auto" w:fill="FFFFFF"/>
        <w:spacing w:after="0" w:line="240" w:lineRule="auto"/>
        <w:jc w:val="both"/>
        <w:rPr>
          <w:rFonts w:ascii="Trebuchet MS" w:eastAsia="Times New Roman" w:hAnsi="Trebuchet MS" w:cs="Times New Roman"/>
        </w:rPr>
      </w:pPr>
    </w:p>
    <w:p w:rsidR="00F9792C" w:rsidRDefault="00F9792C">
      <w:pPr>
        <w:spacing w:after="75" w:line="360" w:lineRule="auto"/>
        <w:jc w:val="both"/>
      </w:pPr>
    </w:p>
    <w:p w:rsidR="00E90090" w:rsidRDefault="00E90090">
      <w:pPr>
        <w:spacing w:after="75" w:line="240" w:lineRule="auto"/>
      </w:pPr>
    </w:p>
    <w:p w:rsidR="00E90090" w:rsidRDefault="00E90090">
      <w:pPr>
        <w:spacing w:after="75" w:line="240" w:lineRule="auto"/>
      </w:pPr>
    </w:p>
    <w:p w:rsidR="00E90090" w:rsidRDefault="00DD3951">
      <w:pPr>
        <w:spacing w:after="75" w:line="240" w:lineRule="auto"/>
      </w:pPr>
      <w:r>
        <w:rPr>
          <w:rFonts w:ascii="Times New Roman" w:eastAsia="Times New Roman" w:hAnsi="Times New Roman" w:cs="Times New Roman"/>
          <w:color w:val="3E454C"/>
          <w:sz w:val="24"/>
        </w:rPr>
        <w:t>BIBLIOGRAFIA SUGERIDA:</w:t>
      </w:r>
    </w:p>
    <w:bookmarkStart w:id="1" w:name="h.gjdgxs" w:colFirst="0" w:colLast="0"/>
    <w:bookmarkEnd w:id="1"/>
    <w:p w:rsidR="00E90090" w:rsidRDefault="00DD3951">
      <w:pPr>
        <w:spacing w:after="0"/>
      </w:pPr>
      <w:r>
        <w:fldChar w:fldCharType="begin"/>
      </w:r>
      <w:r>
        <w:instrText xml:space="preserve"> HYPERLINK "http://disciplinas.stoa.usp.br/mod/resource/view.php?id=48790" \h </w:instrText>
      </w:r>
      <w:r>
        <w:fldChar w:fldCharType="separate"/>
      </w:r>
      <w:r>
        <w:rPr>
          <w:rFonts w:ascii="Times New Roman" w:eastAsia="Times New Roman" w:hAnsi="Times New Roman" w:cs="Times New Roman"/>
          <w:sz w:val="24"/>
        </w:rPr>
        <w:t>BITTAR, Carlos Alberto. Direito de Autor. 4ª Ed. Rio de Janeiro: Forense Universitária, 2005. pp. 8-18 (Capítulo 2).</w:t>
      </w:r>
      <w:r>
        <w:rPr>
          <w:rFonts w:ascii="Times New Roman" w:eastAsia="Times New Roman" w:hAnsi="Times New Roman" w:cs="Times New Roman"/>
          <w:sz w:val="24"/>
        </w:rPr>
        <w:fldChar w:fldCharType="end"/>
      </w:r>
    </w:p>
    <w:p w:rsidR="00E90090" w:rsidRDefault="00DD3951">
      <w:pPr>
        <w:spacing w:after="75" w:line="240" w:lineRule="auto"/>
      </w:pPr>
      <w:r>
        <w:rPr>
          <w:rFonts w:ascii="Times New Roman" w:eastAsia="Times New Roman" w:hAnsi="Times New Roman" w:cs="Times New Roman"/>
          <w:sz w:val="24"/>
        </w:rPr>
        <w:t xml:space="preserve">Barbosa. Denis Borges, Uma Introdução à Propriedade Intelectual (São Paulo: Lumen Juris. 1997). 2ª Ed, pp. 8-28 </w:t>
      </w:r>
    </w:p>
    <w:p w:rsidR="00E90090" w:rsidRDefault="00E90090">
      <w:pPr>
        <w:spacing w:after="75" w:line="240" w:lineRule="auto"/>
      </w:pPr>
    </w:p>
    <w:p w:rsidR="00E90090" w:rsidRDefault="00E90090">
      <w:pPr>
        <w:spacing w:after="75" w:line="240" w:lineRule="auto"/>
      </w:pPr>
    </w:p>
    <w:p w:rsidR="00E90090" w:rsidRDefault="00E90090">
      <w:pPr>
        <w:spacing w:after="75" w:line="240" w:lineRule="auto"/>
      </w:pPr>
    </w:p>
    <w:p w:rsidR="00E90090" w:rsidRDefault="00E90090"/>
    <w:sectPr w:rsidR="00E9009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09E" w:rsidRDefault="00B9309E" w:rsidP="004F3F25">
      <w:pPr>
        <w:spacing w:after="0" w:line="240" w:lineRule="auto"/>
      </w:pPr>
      <w:r>
        <w:separator/>
      </w:r>
    </w:p>
  </w:endnote>
  <w:endnote w:type="continuationSeparator" w:id="0">
    <w:p w:rsidR="00B9309E" w:rsidRDefault="00B9309E" w:rsidP="004F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09E" w:rsidRDefault="00B9309E" w:rsidP="004F3F25">
      <w:pPr>
        <w:spacing w:after="0" w:line="240" w:lineRule="auto"/>
      </w:pPr>
      <w:r>
        <w:separator/>
      </w:r>
    </w:p>
  </w:footnote>
  <w:footnote w:type="continuationSeparator" w:id="0">
    <w:p w:rsidR="00B9309E" w:rsidRDefault="00B9309E" w:rsidP="004F3F25">
      <w:pPr>
        <w:spacing w:after="0" w:line="240" w:lineRule="auto"/>
      </w:pPr>
      <w:r>
        <w:continuationSeparator/>
      </w:r>
    </w:p>
  </w:footnote>
  <w:footnote w:id="1">
    <w:p w:rsidR="00DB1213" w:rsidRDefault="00DB1213" w:rsidP="00DB1213">
      <w:pPr>
        <w:pStyle w:val="FootnoteText"/>
      </w:pPr>
      <w:r>
        <w:rPr>
          <w:rStyle w:val="FootnoteReference"/>
        </w:rPr>
        <w:footnoteRef/>
      </w:r>
      <w:r>
        <w:t xml:space="preserve"> Artigo 1º do TRIPs</w:t>
      </w:r>
    </w:p>
    <w:p w:rsidR="00DB1213" w:rsidRDefault="00DB1213" w:rsidP="00DB1213">
      <w:pPr>
        <w:pStyle w:val="FootnoteText"/>
      </w:pPr>
      <w:r>
        <w:t xml:space="preserve">Narureza e âmbito das obrigações </w:t>
      </w:r>
    </w:p>
    <w:p w:rsidR="00DB1213" w:rsidRDefault="00DB1213" w:rsidP="00DB1213">
      <w:pPr>
        <w:pStyle w:val="FootnoteText"/>
      </w:pPr>
      <w:r>
        <w:t xml:space="preserve">1. Os membros implementarão as disposições do presente acordo. </w:t>
      </w:r>
    </w:p>
    <w:p w:rsidR="00DB1213" w:rsidRDefault="00DB1213" w:rsidP="00DB1213">
      <w:pPr>
        <w:pStyle w:val="FootnoteText"/>
      </w:pPr>
      <w:r>
        <w:t xml:space="preserve">Os membros podem, embora a tal não sejam obrigados, prever na </w:t>
      </w:r>
    </w:p>
    <w:p w:rsidR="00DB1213" w:rsidRDefault="00DB1213" w:rsidP="00DB1213">
      <w:pPr>
        <w:pStyle w:val="FootnoteText"/>
      </w:pPr>
      <w:r>
        <w:t xml:space="preserve">sua legislação uma protecção mais vasta do que a prescrita no </w:t>
      </w:r>
    </w:p>
    <w:p w:rsidR="00DB1213" w:rsidRDefault="00DB1213" w:rsidP="00DB1213">
      <w:pPr>
        <w:pStyle w:val="FootnoteText"/>
      </w:pPr>
      <w:r>
        <w:t xml:space="preserve">presente acordo, desde que essa protecção não seja contrária às </w:t>
      </w:r>
    </w:p>
    <w:p w:rsidR="00DB1213" w:rsidRPr="001F51D0" w:rsidRDefault="00DB1213" w:rsidP="00DB1213">
      <w:pPr>
        <w:pStyle w:val="FootnoteText"/>
        <w:rPr>
          <w:b/>
        </w:rPr>
      </w:pPr>
      <w:r>
        <w:t xml:space="preserve">disposições do presente acordo. </w:t>
      </w:r>
      <w:r w:rsidRPr="001F51D0">
        <w:rPr>
          <w:b/>
        </w:rPr>
        <w:t xml:space="preserve">Os membros determinarão </w:t>
      </w:r>
    </w:p>
    <w:p w:rsidR="00DB1213" w:rsidRPr="001F51D0" w:rsidRDefault="00DB1213" w:rsidP="00DB1213">
      <w:pPr>
        <w:pStyle w:val="FootnoteText"/>
        <w:rPr>
          <w:b/>
        </w:rPr>
      </w:pPr>
      <w:r w:rsidRPr="001F51D0">
        <w:rPr>
          <w:b/>
        </w:rPr>
        <w:t xml:space="preserve">livremente o método adequado para a execução das disposições no </w:t>
      </w:r>
    </w:p>
    <w:p w:rsidR="00DB1213" w:rsidRPr="001F51D0" w:rsidRDefault="00DB1213" w:rsidP="00DB1213">
      <w:pPr>
        <w:pStyle w:val="FootnoteText"/>
        <w:rPr>
          <w:b/>
        </w:rPr>
      </w:pPr>
      <w:r w:rsidRPr="001F51D0">
        <w:rPr>
          <w:b/>
        </w:rPr>
        <w:t>presente acordo</w:t>
      </w:r>
      <w:r>
        <w:t xml:space="preserve">, </w:t>
      </w:r>
      <w:r w:rsidRPr="001F51D0">
        <w:rPr>
          <w:b/>
        </w:rPr>
        <w:t xml:space="preserve">no quadro dos respectivos sistemas e práticas </w:t>
      </w:r>
    </w:p>
    <w:p w:rsidR="00DB1213" w:rsidRPr="001F51D0" w:rsidRDefault="00DB1213" w:rsidP="00DB1213">
      <w:pPr>
        <w:pStyle w:val="FootnoteText"/>
        <w:rPr>
          <w:b/>
        </w:rPr>
      </w:pPr>
      <w:r w:rsidRPr="001F51D0">
        <w:rPr>
          <w:b/>
        </w:rPr>
        <w:t>jurídicas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90"/>
    <w:rsid w:val="00006428"/>
    <w:rsid w:val="00075763"/>
    <w:rsid w:val="001D306B"/>
    <w:rsid w:val="001F51D0"/>
    <w:rsid w:val="004F3F25"/>
    <w:rsid w:val="005B0F6F"/>
    <w:rsid w:val="007922FA"/>
    <w:rsid w:val="00B221B7"/>
    <w:rsid w:val="00B9309E"/>
    <w:rsid w:val="00CF4CED"/>
    <w:rsid w:val="00DB1213"/>
    <w:rsid w:val="00DD3951"/>
    <w:rsid w:val="00E90090"/>
    <w:rsid w:val="00F97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B184A-8463-4689-A1D7-E3930BDA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pt-BR" w:eastAsia="pt-BR"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80" w:line="240" w:lineRule="auto"/>
      <w:jc w:val="center"/>
      <w:outlineLvl w:val="0"/>
    </w:pPr>
    <w:rPr>
      <w:b/>
      <w:color w:val="2E74B5"/>
      <w:sz w:val="40"/>
    </w:rPr>
  </w:style>
  <w:style w:type="paragraph" w:styleId="Heading2">
    <w:name w:val="heading 2"/>
    <w:basedOn w:val="Normal"/>
    <w:next w:val="Normal"/>
    <w:pPr>
      <w:keepNext/>
      <w:keepLines/>
      <w:spacing w:before="160" w:after="40" w:line="240" w:lineRule="auto"/>
      <w:jc w:val="center"/>
      <w:outlineLvl w:val="1"/>
    </w:pPr>
    <w:rPr>
      <w:b/>
      <w:sz w:val="32"/>
    </w:rPr>
  </w:style>
  <w:style w:type="paragraph" w:styleId="Heading3">
    <w:name w:val="heading 3"/>
    <w:basedOn w:val="Normal"/>
    <w:next w:val="Normal"/>
    <w:pPr>
      <w:keepNext/>
      <w:keepLines/>
      <w:spacing w:before="160" w:after="0" w:line="240" w:lineRule="auto"/>
      <w:outlineLvl w:val="2"/>
    </w:pPr>
    <w:rPr>
      <w:b/>
      <w:sz w:val="32"/>
    </w:rPr>
  </w:style>
  <w:style w:type="paragraph" w:styleId="Heading4">
    <w:name w:val="heading 4"/>
    <w:basedOn w:val="Normal"/>
    <w:next w:val="Normal"/>
    <w:pPr>
      <w:keepNext/>
      <w:keepLines/>
      <w:spacing w:before="80" w:after="0"/>
      <w:outlineLvl w:val="3"/>
    </w:pPr>
    <w:rPr>
      <w:b/>
      <w:i/>
      <w:sz w:val="30"/>
    </w:rPr>
  </w:style>
  <w:style w:type="paragraph" w:styleId="Heading5">
    <w:name w:val="heading 5"/>
    <w:basedOn w:val="Normal"/>
    <w:next w:val="Normal"/>
    <w:pPr>
      <w:keepNext/>
      <w:keepLines/>
      <w:spacing w:before="40" w:after="0"/>
      <w:outlineLvl w:val="4"/>
    </w:pPr>
    <w:rPr>
      <w:b/>
      <w:sz w:val="28"/>
    </w:rPr>
  </w:style>
  <w:style w:type="paragraph" w:styleId="Heading6">
    <w:name w:val="heading 6"/>
    <w:basedOn w:val="Normal"/>
    <w:next w:val="Normal"/>
    <w:pPr>
      <w:keepNext/>
      <w:keepLines/>
      <w:spacing w:before="40" w:after="0"/>
      <w:outlineLvl w:val="5"/>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400" w:line="240" w:lineRule="auto"/>
      <w:jc w:val="center"/>
    </w:pPr>
    <w:rPr>
      <w:b/>
      <w:smallCaps/>
      <w:color w:val="44546A"/>
      <w:sz w:val="72"/>
    </w:rPr>
  </w:style>
  <w:style w:type="paragraph" w:styleId="Subtitle">
    <w:name w:val="Subtitle"/>
    <w:basedOn w:val="Normal"/>
    <w:next w:val="Normal"/>
    <w:pPr>
      <w:keepNext/>
      <w:keepLines/>
      <w:jc w:val="center"/>
    </w:pPr>
    <w:rPr>
      <w:i/>
      <w:color w:val="44546A"/>
      <w:sz w:val="28"/>
    </w:rPr>
  </w:style>
  <w:style w:type="character" w:customStyle="1" w:styleId="apple-converted-space">
    <w:name w:val="apple-converted-space"/>
    <w:basedOn w:val="DefaultParagraphFont"/>
    <w:rsid w:val="00006428"/>
  </w:style>
  <w:style w:type="paragraph" w:styleId="FootnoteText">
    <w:name w:val="footnote text"/>
    <w:basedOn w:val="Normal"/>
    <w:link w:val="FootnoteTextChar"/>
    <w:uiPriority w:val="99"/>
    <w:semiHidden/>
    <w:unhideWhenUsed/>
    <w:rsid w:val="004F3F25"/>
    <w:pPr>
      <w:spacing w:after="0" w:line="240" w:lineRule="auto"/>
    </w:pPr>
  </w:style>
  <w:style w:type="character" w:customStyle="1" w:styleId="FootnoteTextChar">
    <w:name w:val="Footnote Text Char"/>
    <w:basedOn w:val="DefaultParagraphFont"/>
    <w:link w:val="FootnoteText"/>
    <w:uiPriority w:val="99"/>
    <w:semiHidden/>
    <w:rsid w:val="004F3F25"/>
  </w:style>
  <w:style w:type="character" w:styleId="FootnoteReference">
    <w:name w:val="footnote reference"/>
    <w:basedOn w:val="DefaultParagraphFont"/>
    <w:uiPriority w:val="99"/>
    <w:semiHidden/>
    <w:unhideWhenUsed/>
    <w:rsid w:val="004F3F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9653">
      <w:bodyDiv w:val="1"/>
      <w:marLeft w:val="0"/>
      <w:marRight w:val="0"/>
      <w:marTop w:val="0"/>
      <w:marBottom w:val="0"/>
      <w:divBdr>
        <w:top w:val="none" w:sz="0" w:space="0" w:color="auto"/>
        <w:left w:val="none" w:sz="0" w:space="0" w:color="auto"/>
        <w:bottom w:val="none" w:sz="0" w:space="0" w:color="auto"/>
        <w:right w:val="none" w:sz="0" w:space="0" w:color="auto"/>
      </w:divBdr>
      <w:divsChild>
        <w:div w:id="940603573">
          <w:marLeft w:val="0"/>
          <w:marRight w:val="0"/>
          <w:marTop w:val="0"/>
          <w:marBottom w:val="0"/>
          <w:divBdr>
            <w:top w:val="none" w:sz="0" w:space="0" w:color="auto"/>
            <w:left w:val="none" w:sz="0" w:space="0" w:color="auto"/>
            <w:bottom w:val="none" w:sz="0" w:space="0" w:color="auto"/>
            <w:right w:val="none" w:sz="0" w:space="0" w:color="auto"/>
          </w:divBdr>
        </w:div>
        <w:div w:id="1367220918">
          <w:marLeft w:val="0"/>
          <w:marRight w:val="0"/>
          <w:marTop w:val="0"/>
          <w:marBottom w:val="0"/>
          <w:divBdr>
            <w:top w:val="none" w:sz="0" w:space="0" w:color="auto"/>
            <w:left w:val="none" w:sz="0" w:space="0" w:color="auto"/>
            <w:bottom w:val="none" w:sz="0" w:space="0" w:color="auto"/>
            <w:right w:val="none" w:sz="0" w:space="0" w:color="auto"/>
          </w:divBdr>
        </w:div>
        <w:div w:id="1145899573">
          <w:marLeft w:val="0"/>
          <w:marRight w:val="0"/>
          <w:marTop w:val="0"/>
          <w:marBottom w:val="0"/>
          <w:divBdr>
            <w:top w:val="none" w:sz="0" w:space="0" w:color="auto"/>
            <w:left w:val="none" w:sz="0" w:space="0" w:color="auto"/>
            <w:bottom w:val="none" w:sz="0" w:space="0" w:color="auto"/>
            <w:right w:val="none" w:sz="0" w:space="0" w:color="auto"/>
          </w:divBdr>
        </w:div>
      </w:divsChild>
    </w:div>
    <w:div w:id="1447310654">
      <w:bodyDiv w:val="1"/>
      <w:marLeft w:val="0"/>
      <w:marRight w:val="0"/>
      <w:marTop w:val="0"/>
      <w:marBottom w:val="0"/>
      <w:divBdr>
        <w:top w:val="none" w:sz="0" w:space="0" w:color="auto"/>
        <w:left w:val="none" w:sz="0" w:space="0" w:color="auto"/>
        <w:bottom w:val="none" w:sz="0" w:space="0" w:color="auto"/>
        <w:right w:val="none" w:sz="0" w:space="0" w:color="auto"/>
      </w:divBdr>
    </w:div>
    <w:div w:id="1960451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0A75-BCA7-406C-AF29-5C873BF7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CASO PRÁTICO 9.docx</vt:lpstr>
    </vt:vector>
  </TitlesOfParts>
  <Company>Hewlett-Packard</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CASO PRÁTICO 9.docx</dc:title>
  <dc:creator>Gabriel Marambaia</dc:creator>
  <cp:lastModifiedBy>Gabriel Marambaia</cp:lastModifiedBy>
  <cp:revision>2</cp:revision>
  <dcterms:created xsi:type="dcterms:W3CDTF">2014-05-26T15:55:00Z</dcterms:created>
  <dcterms:modified xsi:type="dcterms:W3CDTF">2014-05-26T15:55:00Z</dcterms:modified>
</cp:coreProperties>
</file>