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CALEIDOSCÓPIO DE TEORIAS</w:t>
      </w:r>
    </w:p>
    <w:tbl>
      <w:tblPr>
        <w:tblStyle w:val="Table1"/>
        <w:bidi w:val="0"/>
        <w:tblW w:w="10207.0" w:type="dxa"/>
        <w:jc w:val="left"/>
        <w:tblInd w:w="-7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4"/>
        <w:gridCol w:w="5103"/>
        <w:tblGridChange w:id="0">
          <w:tblGrid>
            <w:gridCol w:w="5104"/>
            <w:gridCol w:w="5103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before="120"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Nome da Teoria/ Abordagem</w:t>
            </w:r>
          </w:p>
        </w:tc>
        <w:tc>
          <w:tcPr/>
          <w:p w:rsidR="00000000" w:rsidDel="00000000" w:rsidP="00000000" w:rsidRDefault="00000000" w:rsidRPr="00000000">
            <w:pPr>
              <w:spacing w:before="120"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Comunidades de prática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spacing w:before="120"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Principais teóricos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12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Etienne Werger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12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Jean Lave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12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Richard McDermoot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12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Williams Snyder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Principais Referências Bibliográficas (quatro no máximo)</w:t>
            </w:r>
          </w:p>
        </w:tc>
      </w:tr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after="120" w:before="120" w:line="240" w:lineRule="auto"/>
              <w:contextualSpacing w:val="0"/>
            </w:pPr>
            <w:bookmarkStart w:colFirst="0" w:colLast="0" w:name="h.7hysnogo4cr" w:id="0"/>
            <w:bookmarkEnd w:id="0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CABELLEIRA, Denise Mross.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Comunidades de Prática – Conceitos e Reflexões para uma Estratégia de Gestão do Conhecimento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. XXXI Encontro da Anpad. Rio de Janeiro; set/2007.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Disponível em &lt; </w:t>
            </w:r>
            <w:hyperlink r:id="rId5">
              <w:r w:rsidDel="00000000" w:rsidR="00000000" w:rsidRPr="00000000">
                <w:rPr>
                  <w:b w:val="0"/>
                  <w:color w:val="1155cc"/>
                  <w:sz w:val="16"/>
                  <w:szCs w:val="16"/>
                  <w:u w:val="single"/>
                  <w:rtl w:val="0"/>
                </w:rPr>
                <w:t xml:space="preserve">http://www.anpad.org.br/admin/pdf/ADI-B2953.</w:t>
              </w:r>
            </w:hyperlink>
            <w:hyperlink r:id="rId6">
              <w:r w:rsidDel="00000000" w:rsidR="00000000" w:rsidRPr="00000000">
                <w:rPr>
                  <w:b w:val="0"/>
                  <w:color w:val="1155cc"/>
                  <w:sz w:val="16"/>
                  <w:szCs w:val="16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&gt;.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after="120" w:before="120" w:line="240" w:lineRule="auto"/>
              <w:contextualSpacing w:val="0"/>
            </w:pPr>
            <w:bookmarkStart w:colFirst="0" w:colLast="0" w:name="h.2vtb2uilxfs8" w:id="1"/>
            <w:bookmarkEnd w:id="1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LAVE, Jane; WENGER, Etiene.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Situated Learning: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Legitimate Peripheral Participation. Cambridge University Press, 1991.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Werger, Etienne. </w:t>
            </w:r>
            <w:r w:rsidDel="00000000" w:rsidR="00000000" w:rsidRPr="00000000">
              <w:rPr>
                <w:b w:val="1"/>
                <w:rtl w:val="0"/>
              </w:rPr>
              <w:t xml:space="preserve">Communities of practice and social learning systems</w:t>
            </w:r>
            <w:r w:rsidDel="00000000" w:rsidR="00000000" w:rsidRPr="00000000">
              <w:rPr>
                <w:rtl w:val="0"/>
              </w:rPr>
              <w:t xml:space="preserve">: the career of a concept.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Disponível em &lt;</w:t>
            </w: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http://wenger-trayner.com/wp-content/uploads/2012/01/09-10-27-CoPs-and-systems-v2.01.pdf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&gt;.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Werger, E; Werger-Trayner, B. </w:t>
            </w:r>
            <w:r w:rsidDel="00000000" w:rsidR="00000000" w:rsidRPr="00000000">
              <w:rPr>
                <w:b w:val="1"/>
                <w:rtl w:val="0"/>
              </w:rPr>
              <w:t xml:space="preserve">Communities of practice: </w:t>
            </w:r>
            <w:r w:rsidDel="00000000" w:rsidR="00000000" w:rsidRPr="00000000">
              <w:rPr>
                <w:rtl w:val="0"/>
              </w:rPr>
              <w:t xml:space="preserve">a brief introduction. 2007.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Disponível em &lt;</w:t>
            </w: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http://wenger-trayner.com/wp-content/uploads/2015/04/07-Brief-introduction-to-communities-of-practice.pdf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IDEIAS CENTRAIS </w:t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 Ensinar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é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um processo contínuo de troca de experiências. Na comunidade de prática não existem posições autoritárias por parte do professor, mas uma mediação, uma organização, que vai desde a escolha de um tema até a avaliação. Os alunos podem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socializar suas experiências, saberes, crenças, concepções, valores e expectativas, além dos conhecimentos práticos e teóricos construídos pelo discente ao longo de sua formação. Os saberes de todos são potencializados de acordo com o tema escolhido pelo grupo com a mediação do professor.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 E aprender é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um processo coletivo e voluntário. Só é possível aprender com envolvimento e participação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modelo de aprendizagem situada proposto por Jean Lave e Etienne Wenger é uma aprendizagem que envolve um processo de engajamento em uma "comunidade de prática". 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 comunidades de práticas podem variar em seu formato, mas, no geral, são constituídas por pessoas que se reúnem de forma voluntária por atividades comuns e para aprender por engajamento mútuo nessas atividades.  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relação ensino-aprendizagem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acontece pela troca de experiências e saberes entre os participantes, movidos pelo tema e mediados pelo professor.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Três elementos definem uma comunidade de prática, segundo Wenger (2007):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o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domínio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(é uma comunidade com identidade definida e um conhecimento/domínio compartilhado); 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comunidade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(os membros se envolvem em atividades e discussões conjuntas, construindo relacionamentos que permitem aprender uns com os outros);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prática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(“Os membros de uma comunidade de prática são praticantes. Eles desenvolvem um repertório compartilhado de recursos: experiências, histórias, ferramentas, formas de lidar com problemas recorrentes. Isso leva tempo e numa interação permanente”).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 O ambiente educacional ideal é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 corporativo e os contextos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organizacionais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onde essa concepção foi criada. Ainda assim, a transposição para o contexto escolar é possível e válida.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 A avaliação da aprendizagem é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feita de forma contínua por meio da participação nas atividades e discussões mediadas pelo professor. É um processo coletivo que requer a participação de todo o grupo. Uma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avaliação formativa, onde o processo indica a avaliação e a avaliação indica os novos rumos do processo.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 Os papeis de alunos e professores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comunidade de prática, professores e alunos devem estar familiarizados com os desafios propostos e contribuir para que as aprendizagens aconteçam. O ambiente criado permite que todos, sem restrição de cargos ou atividades, aprendam juntos, desde que haja disposição para isso. O professor atua como um mediador e organizador do processo.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educação formal, pensamos que o mesmo possa ser feito caso o professor organize não apenas uma, mas várias comunidades de prática, de modo que os alunos possam ter a oportunidade de escolher a partir de seus interesses.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Para que conteúdos essa teoria/abordagem é mais indicada…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conteúdos são definidos pela comunidade de prática e devem ser de conhecimento dos participantes. A proposta é aprimorar os conhecimentos prévios por meio da troca de experiências com o grupo. Assim, os conteúdos dependem das vivências dos participantes. Podem ser temas de interesse da empresa (planejamento, gestão, vendas etc.) ou de interesse pessoal e profissional do grupo. O mesmo vale para 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ambiente escolar.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Para crianças, jovens ou adultos? 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bibliografia consultada indica as comunidades de prática como uma proposta vinculada aos contextos corporativos, portanto, seria para adultos profissionais de uma mesma área com conhecimentos e experiências sobre os temas discutidos. Ainda assim, é possível, e interessante, que essa proposta possa ser experimentada no ensino formal, tanto em instituições de ensino superior, quanto nas de educação básica.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Quais as bases teóricas que mais se aproximam desta teoria/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abordagem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termo “comunidades de prática” começou a ser utilizado na década de 80 por Jane Lave (antropóloga - Universidade da Califórnia) e Etienne Wenger (professor e membro do Instituto de pesquisa sobre aprendizagem - Palo Alto- Califórnia).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autores resgatam as origens das comunidades, inspirando-se nos grupos de artesãos (serralheiros, oleiros, pedreiros) da Grécia Antiga que tinham o objetivo social e função comercial.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Outra referência para a elaboração da teoria são “as associações da Idade Média pela maneira que formavam os aprendizes e disseminavam novas práticas como formas de aprendizagem social. Isto porque tal qual naqueles tempos, um dos maiores benefícios que a Comunidade de Prática traz é a circulação do conhecimento tácito. O que antes era uma das poucas formas de transferir o conhecimento, hoje pode ser uma ferramenta para criar vantagem competitiva” (CABELLEIRA, 2007, p.2).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Figura 1: Intersecção das tradições intelectuais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164263" cy="3759763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263" cy="3759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FONTE: WENGER, 1998 apud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CABELLEIRA, 2007, p.6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before="120"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 Quais os objetivos da aprendizagem?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Fortalecer o senso de coletividade, de forma que os participantes percebam que o processo enriquece os saberes de cada membro do grupo.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Aprimorar os conhecimentos prévios dos participantes quanto ao assunto comum que motivou a formação da comunidade de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prática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18" w:top="1418" w:left="1985" w:right="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8491.0" w:type="dxa"/>
      <w:jc w:val="left"/>
      <w:tblInd w:w="-115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5934"/>
      <w:gridCol w:w="2557"/>
      <w:tblGridChange w:id="0">
        <w:tblGrid>
          <w:gridCol w:w="5934"/>
          <w:gridCol w:w="2557"/>
        </w:tblGrid>
      </w:tblGridChange>
    </w:tblGrid>
    <w:tr>
      <w:trPr>
        <w:trHeight w:val="1760" w:hRule="atLeast"/>
      </w:trPr>
      <w:tc>
        <w:tcPr/>
        <w:p w:rsidR="00000000" w:rsidDel="00000000" w:rsidP="00000000" w:rsidRDefault="00000000" w:rsidRPr="00000000">
          <w:pPr>
            <w:spacing w:before="624" w:line="360" w:lineRule="auto"/>
            <w:ind w:left="142" w:hanging="180"/>
            <w:contextualSpacing w:val="0"/>
            <w:jc w:val="both"/>
          </w:pP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EDM 5157-1: </w:t>
          </w:r>
        </w:p>
        <w:p w:rsidR="00000000" w:rsidDel="00000000" w:rsidP="00000000" w:rsidRDefault="00000000" w:rsidRPr="00000000">
          <w:pPr>
            <w:spacing w:line="360" w:lineRule="auto"/>
            <w:ind w:left="142" w:hanging="180"/>
            <w:contextualSpacing w:val="0"/>
            <w:jc w:val="both"/>
          </w:pP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DESIGN DIDÁTICO DIGITAL </w:t>
          </w:r>
        </w:p>
        <w:p w:rsidR="00000000" w:rsidDel="00000000" w:rsidP="00000000" w:rsidRDefault="00000000" w:rsidRPr="00000000">
          <w:pPr>
            <w:spacing w:line="360" w:lineRule="auto"/>
            <w:contextualSpacing w:val="0"/>
            <w:jc w:val="both"/>
          </w:pP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Profa. Dra. Vani M. Kenski </w:t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ind w:firstLine="720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color w:val="c00000"/>
              <w:sz w:val="28"/>
              <w:szCs w:val="28"/>
              <w:rtl w:val="0"/>
            </w:rPr>
            <w:t xml:space="preserve">SEMANA 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before="624" w:line="360" w:lineRule="auto"/>
            <w:ind w:firstLine="24"/>
            <w:contextualSpacing w:val="0"/>
            <w:jc w:val="both"/>
          </w:pPr>
          <w:r w:rsidDel="00000000" w:rsidR="00000000" w:rsidRPr="00000000">
            <w:drawing>
              <wp:inline distB="0" distT="0" distL="114300" distR="114300">
                <wp:extent cx="1079500" cy="11430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624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anpad.org.br/admin/pdf/ADI-B2953.pdf" TargetMode="External"/><Relationship Id="rId9" Type="http://schemas.openxmlformats.org/officeDocument/2006/relationships/image" Target="media/image02.png"/><Relationship Id="rId5" Type="http://schemas.openxmlformats.org/officeDocument/2006/relationships/hyperlink" Target="http://www.anpad.org.br/admin/pdf/ADI-B2953.pdf" TargetMode="External"/><Relationship Id="rId6" Type="http://schemas.openxmlformats.org/officeDocument/2006/relationships/hyperlink" Target="http://www.anpad.org.br/admin/pdf/ADI-B2953.pdf" TargetMode="External"/><Relationship Id="rId7" Type="http://schemas.openxmlformats.org/officeDocument/2006/relationships/hyperlink" Target="http://wenger-trayner.com/wp-content/uploads/2012/01/09-10-27-CoPs-and-systems-v2.01.pdf" TargetMode="External"/><Relationship Id="rId8" Type="http://schemas.openxmlformats.org/officeDocument/2006/relationships/hyperlink" Target="http://wenger-trayner.com/wp-content/uploads/2015/04/07-Brief-introduction-to-communities-of-practice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