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78" w:rsidRDefault="00666578">
      <w:r>
        <w:t xml:space="preserve">Amanda Strazzacapa de Oliveira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n°USP</w:t>
      </w:r>
      <w:proofErr w:type="gramEnd"/>
      <w:r>
        <w:t>:8967319</w:t>
      </w:r>
    </w:p>
    <w:p w:rsidR="00666578" w:rsidRDefault="00666578" w:rsidP="00666578">
      <w:pPr>
        <w:pStyle w:val="PargrafodaLista"/>
        <w:numPr>
          <w:ilvl w:val="0"/>
          <w:numId w:val="1"/>
        </w:numPr>
      </w:pPr>
      <w:r>
        <w:t>Qual a dificuldade de se implantar a EA na grade curricular municipal dos ensinos fundamental e infantil?</w:t>
      </w:r>
    </w:p>
    <w:p w:rsidR="00666578" w:rsidRDefault="00666578" w:rsidP="00666578">
      <w:pPr>
        <w:pStyle w:val="PargrafodaLista"/>
        <w:numPr>
          <w:ilvl w:val="0"/>
          <w:numId w:val="1"/>
        </w:numPr>
      </w:pPr>
      <w:r>
        <w:t>Por que gerações mais antigas tem maior dificuldade de entender as questões ambientais e a importância de ações para mitiga-las?</w:t>
      </w:r>
    </w:p>
    <w:p w:rsidR="00666578" w:rsidRDefault="00666578" w:rsidP="00CB7369">
      <w:pPr>
        <w:pStyle w:val="PargrafodaLista"/>
        <w:numPr>
          <w:ilvl w:val="0"/>
          <w:numId w:val="1"/>
        </w:numPr>
      </w:pPr>
      <w:r>
        <w:t>O método de ensino da educação ambiental para crianças deve ser o mesmo que para idosos e adultos?</w:t>
      </w:r>
      <w:bookmarkStart w:id="0" w:name="_GoBack"/>
      <w:bookmarkEnd w:id="0"/>
    </w:p>
    <w:sectPr w:rsidR="006665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655"/>
    <w:multiLevelType w:val="hybridMultilevel"/>
    <w:tmpl w:val="2376E8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78"/>
    <w:rsid w:val="00666578"/>
    <w:rsid w:val="0069200A"/>
    <w:rsid w:val="00CB7369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2016-02-24T18:23:00Z</dcterms:created>
  <dcterms:modified xsi:type="dcterms:W3CDTF">2016-02-24T18:36:00Z</dcterms:modified>
</cp:coreProperties>
</file>