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3D729E" w:rsidRPr="00671512">
        <w:tc>
          <w:tcPr>
            <w:tcW w:w="1913" w:type="dxa"/>
          </w:tcPr>
          <w:p w:rsidR="003D729E" w:rsidRPr="00671512" w:rsidRDefault="003D729E" w:rsidP="008D575C">
            <w:pPr>
              <w:spacing w:before="2" w:after="2"/>
              <w:rPr>
                <w:rFonts w:ascii="Calibri" w:hAnsi="Calibri"/>
                <w:noProof/>
                <w:sz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lang w:val="en-US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3275" cy="825500"/>
                  <wp:effectExtent l="25400" t="0" r="9525" b="0"/>
                  <wp:wrapTight wrapText="bothSides">
                    <wp:wrapPolygon edited="0">
                      <wp:start x="-683" y="0"/>
                      <wp:lineTo x="-683" y="21268"/>
                      <wp:lineTo x="21856" y="21268"/>
                      <wp:lineTo x="21856" y="0"/>
                      <wp:lineTo x="-683" y="0"/>
                    </wp:wrapPolygon>
                  </wp:wrapTight>
                  <wp:docPr id="13" name="Picture 2" descr="http://www.ee.usp.br/intranet/imagem/Logo_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e.usp.br/intranet/imagem/Logo_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5" w:type="dxa"/>
          </w:tcPr>
          <w:p w:rsidR="003D729E" w:rsidRPr="00671512" w:rsidRDefault="003D729E" w:rsidP="008D575C">
            <w:pPr>
              <w:spacing w:before="240" w:after="2"/>
              <w:ind w:left="-1134"/>
              <w:jc w:val="center"/>
              <w:rPr>
                <w:rFonts w:ascii="Calibri" w:hAnsi="Calibri"/>
                <w:b/>
                <w:sz w:val="18"/>
              </w:rPr>
            </w:pPr>
            <w:r w:rsidRPr="00671512">
              <w:rPr>
                <w:rFonts w:ascii="Calibri" w:hAnsi="Calibri"/>
                <w:b/>
                <w:sz w:val="18"/>
              </w:rPr>
              <w:t>UNIVERSIDADE DE SÃO PAULO</w:t>
            </w:r>
          </w:p>
          <w:p w:rsidR="003D729E" w:rsidRPr="00671512" w:rsidRDefault="003D729E" w:rsidP="008D575C">
            <w:pPr>
              <w:spacing w:before="2" w:after="2"/>
              <w:ind w:left="-1134"/>
              <w:jc w:val="center"/>
              <w:rPr>
                <w:rFonts w:ascii="Calibri" w:hAnsi="Calibri"/>
                <w:b/>
                <w:sz w:val="18"/>
              </w:rPr>
            </w:pPr>
            <w:r w:rsidRPr="00671512">
              <w:rPr>
                <w:rFonts w:ascii="Calibri" w:hAnsi="Calibri"/>
                <w:b/>
                <w:sz w:val="18"/>
              </w:rPr>
              <w:t>ESCOLA DE ENFERMAGEM</w:t>
            </w:r>
          </w:p>
          <w:p w:rsidR="003D729E" w:rsidRPr="00671512" w:rsidRDefault="003D729E" w:rsidP="008D575C">
            <w:pPr>
              <w:spacing w:before="2" w:after="2"/>
              <w:ind w:left="-1134"/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671512">
              <w:rPr>
                <w:rFonts w:ascii="Calibri" w:hAnsi="Calibri"/>
                <w:b/>
                <w:sz w:val="18"/>
                <w:u w:val="single"/>
              </w:rPr>
              <w:t>DEPARTAMENTO DE ENFERMAGEM EM SAÚDE COLETIVA</w:t>
            </w:r>
          </w:p>
          <w:p w:rsidR="003D729E" w:rsidRPr="00671512" w:rsidRDefault="003D729E" w:rsidP="008D575C">
            <w:pPr>
              <w:spacing w:before="2" w:after="2"/>
              <w:ind w:left="-2495" w:firstLine="1134"/>
              <w:jc w:val="center"/>
              <w:rPr>
                <w:rFonts w:ascii="Calibri" w:hAnsi="Calibri"/>
                <w:b/>
                <w:sz w:val="18"/>
              </w:rPr>
            </w:pPr>
            <w:r w:rsidRPr="00671512">
              <w:rPr>
                <w:rFonts w:ascii="Calibri" w:hAnsi="Calibri"/>
                <w:b/>
                <w:sz w:val="18"/>
              </w:rPr>
              <w:t>Av. Dr. Enéas de Carvalho Aguiar, 419 - CEP 05403-000</w:t>
            </w:r>
          </w:p>
          <w:p w:rsidR="003D729E" w:rsidRPr="00671512" w:rsidRDefault="003D729E" w:rsidP="008D575C">
            <w:pPr>
              <w:spacing w:before="2" w:after="2"/>
              <w:ind w:left="-2495" w:firstLine="1134"/>
              <w:jc w:val="center"/>
              <w:rPr>
                <w:rFonts w:ascii="Calibri" w:hAnsi="Calibri"/>
                <w:b/>
                <w:sz w:val="18"/>
              </w:rPr>
            </w:pPr>
            <w:r w:rsidRPr="00671512">
              <w:rPr>
                <w:rFonts w:ascii="Calibri" w:hAnsi="Calibri"/>
                <w:b/>
                <w:sz w:val="18"/>
              </w:rPr>
              <w:t>Tel.: (011) 3061-7652 - FAX 3061-7662</w:t>
            </w:r>
          </w:p>
          <w:p w:rsidR="003D729E" w:rsidRPr="00671512" w:rsidRDefault="003D729E" w:rsidP="008D575C">
            <w:pPr>
              <w:spacing w:before="2" w:after="2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3D729E" w:rsidRDefault="003D729E" w:rsidP="003D729E">
      <w:pPr>
        <w:jc w:val="center"/>
        <w:rPr>
          <w:rFonts w:ascii="Calibri" w:hAnsi="Calibri" w:cs="Arial"/>
          <w:b/>
          <w:sz w:val="22"/>
        </w:rPr>
      </w:pPr>
    </w:p>
    <w:p w:rsidR="003D729E" w:rsidRPr="00D93429" w:rsidRDefault="003D729E" w:rsidP="003D729E">
      <w:pPr>
        <w:jc w:val="center"/>
        <w:rPr>
          <w:rFonts w:ascii="Calibri" w:hAnsi="Calibri" w:cs="Arial"/>
          <w:b/>
        </w:rPr>
      </w:pPr>
      <w:r w:rsidRPr="00D93429">
        <w:rPr>
          <w:rFonts w:ascii="Calibri" w:hAnsi="Calibri" w:cs="Arial"/>
          <w:b/>
        </w:rPr>
        <w:t xml:space="preserve">Disciplina ENS 190: Um olhar de gênero sobre a saúde da mulher </w:t>
      </w:r>
    </w:p>
    <w:p w:rsidR="003D729E" w:rsidRPr="00D93429" w:rsidRDefault="003D729E" w:rsidP="003D729E">
      <w:pPr>
        <w:jc w:val="center"/>
        <w:rPr>
          <w:rFonts w:ascii="Calibri" w:hAnsi="Calibri" w:cs="Arial"/>
          <w:b/>
          <w:szCs w:val="22"/>
        </w:rPr>
      </w:pPr>
    </w:p>
    <w:p w:rsidR="00186B5B" w:rsidRDefault="003D729E" w:rsidP="003D729E">
      <w:pPr>
        <w:rPr>
          <w:rFonts w:asciiTheme="majorHAnsi" w:hAnsiTheme="majorHAnsi"/>
        </w:rPr>
      </w:pPr>
      <w:r w:rsidRPr="00D93429">
        <w:rPr>
          <w:rFonts w:ascii="Calibri" w:hAnsi="Calibri" w:cs="Arial"/>
          <w:b/>
          <w:szCs w:val="22"/>
        </w:rPr>
        <w:t xml:space="preserve">Título da aula: </w:t>
      </w:r>
      <w:r w:rsidR="00186B5B">
        <w:rPr>
          <w:rFonts w:asciiTheme="majorHAnsi" w:hAnsiTheme="majorHAnsi"/>
        </w:rPr>
        <w:t>Gênero e feminilidade</w:t>
      </w:r>
    </w:p>
    <w:p w:rsidR="003D729E" w:rsidRPr="00D93429" w:rsidRDefault="003D729E" w:rsidP="003D729E">
      <w:pPr>
        <w:rPr>
          <w:rFonts w:ascii="Calibri" w:hAnsi="Calibri" w:cs="Arial"/>
          <w:b/>
        </w:rPr>
      </w:pPr>
    </w:p>
    <w:p w:rsidR="003D729E" w:rsidRPr="00D93429" w:rsidRDefault="003D729E" w:rsidP="003D729E">
      <w:pPr>
        <w:rPr>
          <w:rFonts w:ascii="Calibri" w:hAnsi="Calibri" w:cs="Arial"/>
          <w:b/>
        </w:rPr>
      </w:pPr>
      <w:r w:rsidRPr="00D93429">
        <w:rPr>
          <w:rFonts w:ascii="Calibri" w:hAnsi="Calibri" w:cs="Arial"/>
          <w:b/>
        </w:rPr>
        <w:t xml:space="preserve">Responsável </w:t>
      </w:r>
    </w:p>
    <w:p w:rsidR="003D729E" w:rsidRPr="00D93429" w:rsidRDefault="003D729E" w:rsidP="003D729E">
      <w:pPr>
        <w:rPr>
          <w:rFonts w:ascii="Calibri" w:hAnsi="Calibri" w:cs="Arial"/>
        </w:rPr>
      </w:pPr>
      <w:proofErr w:type="spellStart"/>
      <w:r w:rsidRPr="00D93429">
        <w:rPr>
          <w:rFonts w:ascii="Calibri" w:hAnsi="Calibri" w:cs="Arial"/>
        </w:rPr>
        <w:t>Profa</w:t>
      </w:r>
      <w:proofErr w:type="spellEnd"/>
      <w:r w:rsidRPr="00D93429">
        <w:rPr>
          <w:rFonts w:ascii="Calibri" w:hAnsi="Calibri" w:cs="Arial"/>
        </w:rPr>
        <w:t>. Dra. Rosa Maria Godoy Serpa da Fonseca – Professora Titular do Departamento de Enfermagem em Saúde Coletiva da Escola de Enfermagem da USP.</w:t>
      </w:r>
    </w:p>
    <w:p w:rsidR="003D729E" w:rsidRPr="00D93429" w:rsidRDefault="003D729E" w:rsidP="003D729E">
      <w:pPr>
        <w:spacing w:before="120"/>
        <w:rPr>
          <w:rFonts w:ascii="Calibri" w:hAnsi="Calibri" w:cs="Arial"/>
        </w:rPr>
      </w:pPr>
      <w:r w:rsidRPr="00D93429">
        <w:rPr>
          <w:rFonts w:ascii="Calibri" w:hAnsi="Calibri" w:cs="Arial"/>
          <w:b/>
        </w:rPr>
        <w:t>Colaboradoras</w:t>
      </w:r>
    </w:p>
    <w:p w:rsidR="003D729E" w:rsidRPr="00D93429" w:rsidRDefault="003D729E" w:rsidP="003D729E">
      <w:pPr>
        <w:pStyle w:val="Header"/>
        <w:tabs>
          <w:tab w:val="clear" w:pos="4419"/>
          <w:tab w:val="clear" w:pos="8838"/>
        </w:tabs>
        <w:rPr>
          <w:rFonts w:ascii="Calibri" w:hAnsi="Calibri" w:cs="Arial"/>
          <w:sz w:val="24"/>
        </w:rPr>
      </w:pPr>
      <w:r w:rsidRPr="00D93429">
        <w:rPr>
          <w:rFonts w:ascii="Calibri" w:hAnsi="Calibri" w:cs="Arial"/>
          <w:b/>
          <w:sz w:val="24"/>
        </w:rPr>
        <w:t xml:space="preserve">Rebeca Nunes Guedes Oliveira: </w:t>
      </w:r>
      <w:r w:rsidRPr="00D93429">
        <w:rPr>
          <w:rFonts w:ascii="Calibri" w:hAnsi="Calibri" w:cs="Arial"/>
          <w:sz w:val="24"/>
        </w:rPr>
        <w:t>pós-doutoranda do Departamento de Enfermagem em Saúde Coletiva da EEUSP</w:t>
      </w:r>
    </w:p>
    <w:p w:rsidR="003D729E" w:rsidRPr="00D93429" w:rsidRDefault="003D729E" w:rsidP="003D729E">
      <w:pPr>
        <w:pStyle w:val="Header"/>
        <w:tabs>
          <w:tab w:val="clear" w:pos="4419"/>
          <w:tab w:val="clear" w:pos="8838"/>
        </w:tabs>
        <w:rPr>
          <w:rFonts w:ascii="Calibri" w:hAnsi="Calibri" w:cs="Arial"/>
          <w:sz w:val="24"/>
        </w:rPr>
      </w:pPr>
      <w:r w:rsidRPr="00D93429">
        <w:rPr>
          <w:rFonts w:ascii="Calibri" w:hAnsi="Calibri" w:cs="Arial"/>
          <w:b/>
          <w:sz w:val="24"/>
        </w:rPr>
        <w:t xml:space="preserve">Patrícia </w:t>
      </w:r>
      <w:proofErr w:type="spellStart"/>
      <w:r w:rsidRPr="00D93429">
        <w:rPr>
          <w:rFonts w:ascii="Calibri" w:hAnsi="Calibri" w:cs="Arial"/>
          <w:b/>
          <w:sz w:val="24"/>
        </w:rPr>
        <w:t>Sulsbach</w:t>
      </w:r>
      <w:proofErr w:type="spellEnd"/>
      <w:r w:rsidRPr="00D93429">
        <w:rPr>
          <w:rFonts w:ascii="Calibri" w:hAnsi="Calibri" w:cs="Arial"/>
          <w:sz w:val="24"/>
        </w:rPr>
        <w:t xml:space="preserve">: doutoranda do Programa </w:t>
      </w:r>
      <w:proofErr w:type="spellStart"/>
      <w:r w:rsidRPr="00D93429">
        <w:rPr>
          <w:rFonts w:ascii="Calibri" w:hAnsi="Calibri" w:cs="Arial"/>
          <w:sz w:val="24"/>
        </w:rPr>
        <w:t>Interunidades</w:t>
      </w:r>
      <w:proofErr w:type="spellEnd"/>
      <w:r w:rsidRPr="00D93429">
        <w:rPr>
          <w:rFonts w:ascii="Calibri" w:hAnsi="Calibri" w:cs="Arial"/>
          <w:sz w:val="24"/>
        </w:rPr>
        <w:t xml:space="preserve"> de Doutoramento em Enfermagem EEUSP-EERP.</w:t>
      </w:r>
    </w:p>
    <w:p w:rsidR="003D729E" w:rsidRPr="00D93429" w:rsidRDefault="003D729E" w:rsidP="003D729E">
      <w:pPr>
        <w:pStyle w:val="Header"/>
        <w:tabs>
          <w:tab w:val="clear" w:pos="4419"/>
          <w:tab w:val="clear" w:pos="8838"/>
        </w:tabs>
        <w:rPr>
          <w:rFonts w:ascii="Calibri" w:hAnsi="Calibri" w:cs="Arial"/>
          <w:b/>
          <w:sz w:val="24"/>
        </w:rPr>
      </w:pPr>
    </w:p>
    <w:p w:rsidR="003D729E" w:rsidRPr="00D93429" w:rsidRDefault="00D93429" w:rsidP="003D72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rebuchet MS"/>
          <w:b/>
          <w:bCs/>
          <w:szCs w:val="26"/>
          <w:lang w:val="en-US"/>
        </w:rPr>
      </w:pPr>
      <w:r w:rsidRPr="00D93429">
        <w:rPr>
          <w:rFonts w:asciiTheme="majorHAnsi" w:hAnsiTheme="majorHAnsi" w:cs="Trebuchet MS"/>
          <w:b/>
          <w:bCs/>
          <w:szCs w:val="26"/>
          <w:lang w:val="en-US"/>
        </w:rPr>
        <w:t xml:space="preserve">ROTEIRO PARA </w:t>
      </w:r>
      <w:r w:rsidR="003D729E" w:rsidRPr="00D93429">
        <w:rPr>
          <w:rFonts w:asciiTheme="majorHAnsi" w:hAnsiTheme="majorHAnsi" w:cs="Trebuchet MS"/>
          <w:b/>
          <w:bCs/>
          <w:szCs w:val="26"/>
          <w:lang w:val="en-US"/>
        </w:rPr>
        <w:t>ANÁLISE DE FILME</w:t>
      </w:r>
    </w:p>
    <w:p w:rsidR="003D729E" w:rsidRPr="00D93429" w:rsidRDefault="003D729E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szCs w:val="26"/>
          <w:lang w:val="en-US"/>
        </w:rPr>
      </w:pPr>
    </w:p>
    <w:p w:rsidR="005F6BFC" w:rsidRPr="005F6BFC" w:rsidRDefault="00272771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Cs w:val="26"/>
          <w:lang w:val="en-US"/>
        </w:rPr>
      </w:pPr>
      <w:r w:rsidRPr="00272771">
        <w:rPr>
          <w:rFonts w:asciiTheme="majorHAnsi" w:hAnsiTheme="majorHAnsi" w:cs="Trebuchet MS"/>
          <w:b/>
          <w:bCs/>
          <w:noProof/>
          <w:szCs w:val="26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06pt;margin-top:6.35pt;width:2in;height:3in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D575C" w:rsidRDefault="008D575C">
                  <w:r w:rsidRPr="003D729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45920" cy="2313538"/>
                        <wp:effectExtent l="25400" t="0" r="508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2313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F6BFC" w:rsidRPr="005F6BFC">
        <w:rPr>
          <w:rFonts w:asciiTheme="majorHAnsi" w:hAnsiTheme="majorHAnsi" w:cs="Trebuchet MS"/>
          <w:b/>
          <w:bCs/>
          <w:szCs w:val="26"/>
          <w:lang w:val="en-US"/>
        </w:rPr>
        <w:t xml:space="preserve">The </w:t>
      </w:r>
      <w:proofErr w:type="spellStart"/>
      <w:r w:rsidR="005F6BFC" w:rsidRPr="005F6BFC">
        <w:rPr>
          <w:rFonts w:asciiTheme="majorHAnsi" w:hAnsiTheme="majorHAnsi" w:cs="Trebuchet MS"/>
          <w:b/>
          <w:bCs/>
          <w:szCs w:val="26"/>
          <w:lang w:val="en-US"/>
        </w:rPr>
        <w:t>Stepford</w:t>
      </w:r>
      <w:proofErr w:type="spellEnd"/>
      <w:r w:rsidR="005F6BFC" w:rsidRPr="005F6BFC">
        <w:rPr>
          <w:rFonts w:asciiTheme="majorHAnsi" w:hAnsiTheme="majorHAnsi" w:cs="Trebuchet MS"/>
          <w:b/>
          <w:bCs/>
          <w:szCs w:val="26"/>
          <w:lang w:val="en-US"/>
        </w:rPr>
        <w:t xml:space="preserve"> Wives</w:t>
      </w:r>
      <w:r w:rsidR="005F6BFC" w:rsidRPr="005F6BFC">
        <w:rPr>
          <w:rFonts w:asciiTheme="majorHAnsi" w:hAnsiTheme="majorHAnsi" w:cs="Trebuchet MS"/>
          <w:szCs w:val="26"/>
          <w:lang w:val="en-US"/>
        </w:rPr>
        <w:t xml:space="preserve"> (</w:t>
      </w:r>
      <w:proofErr w:type="spellStart"/>
      <w:r w:rsidR="005F6BFC" w:rsidRPr="005F6BFC">
        <w:rPr>
          <w:rFonts w:asciiTheme="majorHAnsi" w:hAnsiTheme="majorHAnsi" w:cs="Trebuchet MS"/>
          <w:szCs w:val="26"/>
          <w:lang w:val="en-US"/>
        </w:rPr>
        <w:t>Mulheres</w:t>
      </w:r>
      <w:proofErr w:type="spellEnd"/>
      <w:r w:rsidR="005F6BFC"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="005F6BFC" w:rsidRPr="005F6BFC">
        <w:rPr>
          <w:rFonts w:asciiTheme="majorHAnsi" w:hAnsiTheme="majorHAnsi" w:cs="Trebuchet MS"/>
          <w:szCs w:val="26"/>
          <w:lang w:val="en-US"/>
        </w:rPr>
        <w:t>Perfeitas</w:t>
      </w:r>
      <w:proofErr w:type="spellEnd"/>
      <w:r w:rsidR="005F6BFC" w:rsidRPr="005F6BFC">
        <w:rPr>
          <w:rFonts w:asciiTheme="majorHAnsi" w:hAnsiTheme="majorHAnsi" w:cs="Trebuchet MS"/>
          <w:szCs w:val="26"/>
          <w:lang w:val="en-US"/>
        </w:rPr>
        <w:t>)</w:t>
      </w:r>
    </w:p>
    <w:p w:rsidR="005F6BFC" w:rsidRPr="003D729E" w:rsidRDefault="005F6BFC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Cs w:val="26"/>
          <w:lang w:val="en-US"/>
        </w:rPr>
      </w:pPr>
      <w:r w:rsidRPr="003D729E">
        <w:rPr>
          <w:rFonts w:asciiTheme="majorHAnsi" w:hAnsiTheme="majorHAnsi" w:cs="Trebuchet MS"/>
          <w:iCs/>
          <w:szCs w:val="26"/>
          <w:lang w:val="en-US"/>
        </w:rPr>
        <w:t>EUA, 2004</w:t>
      </w:r>
    </w:p>
    <w:p w:rsidR="005F6BFC" w:rsidRPr="005F6BFC" w:rsidRDefault="005F6BFC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Cs w:val="26"/>
          <w:lang w:val="en-US"/>
        </w:rPr>
      </w:pPr>
    </w:p>
    <w:p w:rsidR="005F6BFC" w:rsidRPr="005F6BFC" w:rsidRDefault="005F6BFC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Cs w:val="26"/>
          <w:lang w:val="en-US"/>
        </w:rPr>
      </w:pPr>
      <w:proofErr w:type="spellStart"/>
      <w:r w:rsidRPr="005F6BFC">
        <w:rPr>
          <w:rFonts w:asciiTheme="majorHAnsi" w:hAnsiTheme="majorHAnsi" w:cs="Trebuchet MS"/>
          <w:b/>
          <w:bCs/>
          <w:szCs w:val="26"/>
          <w:lang w:val="en-US"/>
        </w:rPr>
        <w:t>Elenco</w:t>
      </w:r>
      <w:proofErr w:type="spellEnd"/>
      <w:r w:rsidRPr="005F6BFC">
        <w:rPr>
          <w:rFonts w:asciiTheme="majorHAnsi" w:hAnsiTheme="majorHAnsi" w:cs="Trebuchet MS"/>
          <w:b/>
          <w:bCs/>
          <w:szCs w:val="26"/>
          <w:lang w:val="en-US"/>
        </w:rPr>
        <w:t>:</w:t>
      </w:r>
      <w:r w:rsidRPr="005F6BFC">
        <w:rPr>
          <w:rFonts w:asciiTheme="majorHAnsi" w:hAnsiTheme="majorHAnsi" w:cs="Trebuchet MS"/>
          <w:szCs w:val="26"/>
          <w:lang w:val="en-US"/>
        </w:rPr>
        <w:t xml:space="preserve"> Nicole Kidman, Bette Midler, </w:t>
      </w:r>
      <w:r>
        <w:rPr>
          <w:rFonts w:asciiTheme="majorHAnsi" w:hAnsiTheme="majorHAnsi" w:cs="Trebuchet MS"/>
          <w:szCs w:val="26"/>
          <w:lang w:val="en-US"/>
        </w:rPr>
        <w:br/>
      </w:r>
      <w:r w:rsidRPr="005F6BFC">
        <w:rPr>
          <w:rFonts w:asciiTheme="majorHAnsi" w:hAnsiTheme="majorHAnsi" w:cs="Trebuchet MS"/>
          <w:szCs w:val="26"/>
          <w:lang w:val="en-US"/>
        </w:rPr>
        <w:t xml:space="preserve">Matthew Broderick, Christopher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Walken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, </w:t>
      </w:r>
      <w:r>
        <w:rPr>
          <w:rFonts w:asciiTheme="majorHAnsi" w:hAnsiTheme="majorHAnsi" w:cs="Trebuchet MS"/>
          <w:szCs w:val="26"/>
          <w:lang w:val="en-US"/>
        </w:rPr>
        <w:br/>
      </w:r>
      <w:r w:rsidRPr="005F6BFC">
        <w:rPr>
          <w:rFonts w:asciiTheme="majorHAnsi" w:hAnsiTheme="majorHAnsi" w:cs="Trebuchet MS"/>
          <w:szCs w:val="26"/>
          <w:lang w:val="en-US"/>
        </w:rPr>
        <w:t>Faith Hill, Glenn Close</w:t>
      </w:r>
    </w:p>
    <w:p w:rsidR="005F6BFC" w:rsidRPr="005F6BFC" w:rsidRDefault="005F6BFC" w:rsidP="003D729E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rebuchet MS"/>
          <w:szCs w:val="26"/>
          <w:lang w:val="en-US"/>
        </w:rPr>
      </w:pPr>
      <w:proofErr w:type="spellStart"/>
      <w:r w:rsidRPr="005F6BFC">
        <w:rPr>
          <w:rFonts w:asciiTheme="majorHAnsi" w:hAnsiTheme="majorHAnsi" w:cs="Trebuchet MS"/>
          <w:b/>
          <w:bCs/>
          <w:szCs w:val="26"/>
          <w:lang w:val="en-US"/>
        </w:rPr>
        <w:t>Gênero</w:t>
      </w:r>
      <w:proofErr w:type="spellEnd"/>
      <w:r w:rsidRPr="005F6BFC">
        <w:rPr>
          <w:rFonts w:asciiTheme="majorHAnsi" w:hAnsiTheme="majorHAnsi" w:cs="Trebuchet MS"/>
          <w:b/>
          <w:bCs/>
          <w:szCs w:val="26"/>
          <w:lang w:val="en-US"/>
        </w:rPr>
        <w:t>:</w:t>
      </w:r>
      <w:r w:rsidRPr="005F6BFC">
        <w:rPr>
          <w:rFonts w:asciiTheme="majorHAnsi" w:hAnsiTheme="majorHAnsi" w:cs="Trebuchet MS"/>
          <w:szCs w:val="26"/>
          <w:lang w:val="en-US"/>
        </w:rPr>
        <w:t xml:space="preserve"> Comedy Thriller</w:t>
      </w:r>
    </w:p>
    <w:p w:rsidR="005F6BFC" w:rsidRPr="005F6BFC" w:rsidRDefault="005F6BFC" w:rsidP="003D729E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rebuchet MS"/>
          <w:szCs w:val="26"/>
          <w:lang w:val="en-US"/>
        </w:rPr>
      </w:pPr>
      <w:proofErr w:type="spellStart"/>
      <w:r w:rsidRPr="005F6BFC">
        <w:rPr>
          <w:rFonts w:asciiTheme="majorHAnsi" w:hAnsiTheme="majorHAnsi" w:cs="Trebuchet MS"/>
          <w:b/>
          <w:bCs/>
          <w:szCs w:val="26"/>
          <w:lang w:val="en-US"/>
        </w:rPr>
        <w:t>Direção</w:t>
      </w:r>
      <w:proofErr w:type="spellEnd"/>
      <w:r w:rsidRPr="005F6BFC">
        <w:rPr>
          <w:rFonts w:asciiTheme="majorHAnsi" w:hAnsiTheme="majorHAnsi" w:cs="Trebuchet MS"/>
          <w:b/>
          <w:bCs/>
          <w:szCs w:val="26"/>
          <w:lang w:val="en-US"/>
        </w:rPr>
        <w:t>:</w:t>
      </w:r>
      <w:r w:rsidRPr="005F6BFC">
        <w:rPr>
          <w:rFonts w:asciiTheme="majorHAnsi" w:hAnsiTheme="majorHAnsi" w:cs="Trebuchet MS"/>
          <w:szCs w:val="26"/>
          <w:lang w:val="en-US"/>
        </w:rPr>
        <w:t xml:space="preserve"> Frank Oz</w:t>
      </w:r>
    </w:p>
    <w:p w:rsidR="005F6BFC" w:rsidRPr="005F6BFC" w:rsidRDefault="005F6BFC" w:rsidP="005F6BF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Cs w:val="26"/>
          <w:lang w:val="en-US"/>
        </w:rPr>
      </w:pPr>
    </w:p>
    <w:p w:rsidR="003D729E" w:rsidRDefault="005F6BFC" w:rsidP="003D729E">
      <w:pPr>
        <w:spacing w:line="360" w:lineRule="auto"/>
        <w:rPr>
          <w:rFonts w:asciiTheme="majorHAnsi" w:hAnsiTheme="majorHAnsi" w:cs="Trebuchet MS"/>
          <w:szCs w:val="26"/>
          <w:lang w:val="en-US"/>
        </w:rPr>
      </w:pPr>
      <w:proofErr w:type="spellStart"/>
      <w:proofErr w:type="gramStart"/>
      <w:r w:rsidRPr="005F6BFC">
        <w:rPr>
          <w:rFonts w:asciiTheme="majorHAnsi" w:hAnsiTheme="majorHAnsi" w:cs="Trebuchet MS"/>
          <w:b/>
          <w:bCs/>
          <w:szCs w:val="26"/>
          <w:lang w:val="en-US"/>
        </w:rPr>
        <w:t>Sinopse</w:t>
      </w:r>
      <w:proofErr w:type="spellEnd"/>
      <w:r w:rsidRPr="005F6BFC">
        <w:rPr>
          <w:rFonts w:asciiTheme="majorHAnsi" w:hAnsiTheme="majorHAnsi" w:cs="Trebuchet MS"/>
          <w:b/>
          <w:bCs/>
          <w:szCs w:val="26"/>
          <w:lang w:val="en-US"/>
        </w:rPr>
        <w:t>:</w:t>
      </w:r>
      <w:r w:rsidRPr="005F6BFC">
        <w:rPr>
          <w:rFonts w:asciiTheme="majorHAnsi" w:hAnsiTheme="majorHAnsi" w:cs="Trebuchet MS"/>
          <w:szCs w:val="26"/>
          <w:lang w:val="en-US"/>
        </w:rPr>
        <w:t xml:space="preserve"> A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jovem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mãe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Joanna (Nicole Ki</w:t>
      </w:r>
      <w:r>
        <w:rPr>
          <w:rFonts w:asciiTheme="majorHAnsi" w:hAnsiTheme="majorHAnsi" w:cs="Trebuchet MS"/>
          <w:szCs w:val="26"/>
          <w:lang w:val="en-US"/>
        </w:rPr>
        <w:t xml:space="preserve">dman) </w:t>
      </w:r>
      <w:proofErr w:type="spellStart"/>
      <w:r>
        <w:rPr>
          <w:rFonts w:asciiTheme="majorHAnsi" w:hAnsiTheme="majorHAnsi" w:cs="Trebuchet MS"/>
          <w:szCs w:val="26"/>
          <w:lang w:val="en-US"/>
        </w:rPr>
        <w:t>muda</w:t>
      </w:r>
      <w:proofErr w:type="spellEnd"/>
      <w:r>
        <w:rPr>
          <w:rFonts w:asciiTheme="majorHAnsi" w:hAnsiTheme="majorHAnsi" w:cs="Trebuchet MS"/>
          <w:szCs w:val="26"/>
          <w:lang w:val="en-US"/>
        </w:rPr>
        <w:t xml:space="preserve">-se de Manhattan </w:t>
      </w:r>
      <w:proofErr w:type="spellStart"/>
      <w:r>
        <w:rPr>
          <w:rFonts w:asciiTheme="majorHAnsi" w:hAnsiTheme="majorHAnsi" w:cs="Trebuchet MS"/>
          <w:szCs w:val="26"/>
          <w:lang w:val="en-US"/>
        </w:rPr>
        <w:t>para</w:t>
      </w:r>
      <w:proofErr w:type="spellEnd"/>
      <w:r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Stepford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, no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subúrbio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de Connecticut.</w:t>
      </w:r>
      <w:proofErr w:type="gram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Lá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faz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amizade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gramStart"/>
      <w:r w:rsidRPr="005F6BFC">
        <w:rPr>
          <w:rFonts w:asciiTheme="majorHAnsi" w:hAnsiTheme="majorHAnsi" w:cs="Trebuchet MS"/>
          <w:szCs w:val="26"/>
          <w:lang w:val="en-US"/>
        </w:rPr>
        <w:t>com</w:t>
      </w:r>
      <w:proofErr w:type="gramEnd"/>
      <w:r w:rsidRPr="005F6BFC">
        <w:rPr>
          <w:rFonts w:asciiTheme="majorHAnsi" w:hAnsiTheme="majorHAnsi" w:cs="Trebuchet MS"/>
          <w:szCs w:val="26"/>
          <w:lang w:val="en-US"/>
        </w:rPr>
        <w:t xml:space="preserve"> Bobbie Markowitz (Bette Midler). Juntas,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descobrem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que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todas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a</w:t>
      </w:r>
      <w:r w:rsidR="00043BD7">
        <w:rPr>
          <w:rFonts w:asciiTheme="majorHAnsi" w:hAnsiTheme="majorHAnsi" w:cs="Trebuchet MS"/>
          <w:szCs w:val="26"/>
          <w:lang w:val="en-US"/>
        </w:rPr>
        <w:t xml:space="preserve">s </w:t>
      </w:r>
      <w:proofErr w:type="spellStart"/>
      <w:r w:rsidR="00043BD7">
        <w:rPr>
          <w:rFonts w:asciiTheme="majorHAnsi" w:hAnsiTheme="majorHAnsi" w:cs="Trebuchet MS"/>
          <w:szCs w:val="26"/>
          <w:lang w:val="en-US"/>
        </w:rPr>
        <w:t>donas</w:t>
      </w:r>
      <w:proofErr w:type="spellEnd"/>
      <w:r w:rsidR="00043BD7">
        <w:rPr>
          <w:rFonts w:asciiTheme="majorHAnsi" w:hAnsiTheme="majorHAnsi" w:cs="Trebuchet MS"/>
          <w:szCs w:val="26"/>
          <w:lang w:val="en-US"/>
        </w:rPr>
        <w:t xml:space="preserve"> de casa </w:t>
      </w:r>
      <w:proofErr w:type="spellStart"/>
      <w:r w:rsidR="00043BD7">
        <w:rPr>
          <w:rFonts w:asciiTheme="majorHAnsi" w:hAnsiTheme="majorHAnsi" w:cs="Trebuchet MS"/>
          <w:szCs w:val="26"/>
          <w:lang w:val="en-US"/>
        </w:rPr>
        <w:t>locais</w:t>
      </w:r>
      <w:proofErr w:type="spellEnd"/>
      <w:r w:rsidR="00043BD7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="00043BD7">
        <w:rPr>
          <w:rFonts w:asciiTheme="majorHAnsi" w:hAnsiTheme="majorHAnsi" w:cs="Trebuchet MS"/>
          <w:szCs w:val="26"/>
          <w:lang w:val="en-US"/>
        </w:rPr>
        <w:t>obedecem</w:t>
      </w:r>
      <w:proofErr w:type="spellEnd"/>
      <w:r w:rsidR="00043BD7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cegamente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aos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seus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maridos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,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parecendo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felizes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gramStart"/>
      <w:r w:rsidRPr="005F6BFC">
        <w:rPr>
          <w:rFonts w:asciiTheme="majorHAnsi" w:hAnsiTheme="majorHAnsi" w:cs="Trebuchet MS"/>
          <w:szCs w:val="26"/>
          <w:lang w:val="en-US"/>
        </w:rPr>
        <w:t>com</w:t>
      </w:r>
      <w:proofErr w:type="gram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isso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. </w:t>
      </w:r>
      <w:r w:rsidR="003D729E">
        <w:rPr>
          <w:rFonts w:asciiTheme="majorHAnsi" w:hAnsiTheme="majorHAnsi" w:cs="Trebuchet MS"/>
          <w:szCs w:val="26"/>
          <w:lang w:val="en-US"/>
        </w:rPr>
        <w:br/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Elas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,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então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,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decidem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investigar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gramStart"/>
      <w:r w:rsidRPr="005F6BFC">
        <w:rPr>
          <w:rFonts w:asciiTheme="majorHAnsi" w:hAnsiTheme="majorHAnsi" w:cs="Trebuchet MS"/>
          <w:szCs w:val="26"/>
          <w:lang w:val="en-US"/>
        </w:rPr>
        <w:t>a</w:t>
      </w:r>
      <w:proofErr w:type="gram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origem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do </w:t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estranho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 xml:space="preserve"> </w:t>
      </w:r>
      <w:r w:rsidR="003D729E">
        <w:rPr>
          <w:rFonts w:asciiTheme="majorHAnsi" w:hAnsiTheme="majorHAnsi" w:cs="Trebuchet MS"/>
          <w:szCs w:val="26"/>
          <w:lang w:val="en-US"/>
        </w:rPr>
        <w:br/>
      </w:r>
      <w:proofErr w:type="spellStart"/>
      <w:r w:rsidRPr="005F6BFC">
        <w:rPr>
          <w:rFonts w:asciiTheme="majorHAnsi" w:hAnsiTheme="majorHAnsi" w:cs="Trebuchet MS"/>
          <w:szCs w:val="26"/>
          <w:lang w:val="en-US"/>
        </w:rPr>
        <w:t>comportamento</w:t>
      </w:r>
      <w:proofErr w:type="spellEnd"/>
      <w:r w:rsidRPr="005F6BFC">
        <w:rPr>
          <w:rFonts w:asciiTheme="majorHAnsi" w:hAnsiTheme="majorHAnsi" w:cs="Trebuchet MS"/>
          <w:szCs w:val="26"/>
          <w:lang w:val="en-US"/>
        </w:rPr>
        <w:t>. </w:t>
      </w:r>
    </w:p>
    <w:p w:rsidR="005F6BFC" w:rsidRPr="005F6BFC" w:rsidRDefault="005F6BFC" w:rsidP="005F6BFC">
      <w:pPr>
        <w:rPr>
          <w:rFonts w:asciiTheme="majorHAnsi" w:hAnsiTheme="majorHAnsi"/>
        </w:rPr>
      </w:pPr>
    </w:p>
    <w:p w:rsidR="005F6BFC" w:rsidRPr="005F6BFC" w:rsidRDefault="005F6BFC" w:rsidP="005F6BFC">
      <w:pPr>
        <w:rPr>
          <w:rFonts w:asciiTheme="majorHAnsi" w:hAnsiTheme="majorHAnsi"/>
        </w:rPr>
      </w:pPr>
    </w:p>
    <w:p w:rsidR="00D93429" w:rsidRPr="0004556A" w:rsidRDefault="003D729E" w:rsidP="00D93429">
      <w:pPr>
        <w:pStyle w:val="BodyText2"/>
        <w:spacing w:line="360" w:lineRule="auto"/>
        <w:jc w:val="both"/>
        <w:rPr>
          <w:rFonts w:ascii="Calibri" w:hAnsi="Calibri"/>
          <w:b/>
        </w:rPr>
      </w:pPr>
      <w:r>
        <w:rPr>
          <w:rFonts w:asciiTheme="majorHAnsi" w:hAnsiTheme="majorHAnsi" w:cs="Georgia"/>
          <w:b/>
          <w:color w:val="1A1A1A"/>
          <w:szCs w:val="48"/>
        </w:rPr>
        <w:br w:type="column"/>
      </w:r>
      <w:r w:rsidR="00D93429" w:rsidRPr="0004556A">
        <w:rPr>
          <w:rFonts w:ascii="Calibri" w:hAnsi="Calibri"/>
          <w:b/>
        </w:rPr>
        <w:t>Tópicos para Análise</w:t>
      </w:r>
    </w:p>
    <w:p w:rsidR="00D93429" w:rsidRPr="0004556A" w:rsidRDefault="00D93429" w:rsidP="00D93429">
      <w:pPr>
        <w:pStyle w:val="BodyText2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04556A">
        <w:rPr>
          <w:rFonts w:ascii="Calibri" w:hAnsi="Calibri"/>
          <w:b/>
        </w:rPr>
        <w:t>Personagens</w:t>
      </w:r>
      <w:r w:rsidRPr="0004556A">
        <w:rPr>
          <w:rFonts w:ascii="Calibri" w:hAnsi="Calibri"/>
        </w:rPr>
        <w:t xml:space="preserve"> e suas principais características reveladoras da masculinidade e da feminilidade. Tomar como base o texto sobre identidade de gênero (Fonseca, 2001).</w:t>
      </w:r>
    </w:p>
    <w:p w:rsidR="00D93429" w:rsidRPr="0004556A" w:rsidRDefault="00D93429" w:rsidP="00D93429">
      <w:pPr>
        <w:pStyle w:val="BodyText2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04556A">
        <w:rPr>
          <w:rFonts w:ascii="Calibri" w:hAnsi="Calibri"/>
          <w:b/>
        </w:rPr>
        <w:t>Relações intra e inter gêneros</w:t>
      </w:r>
      <w:r w:rsidRPr="0004556A">
        <w:rPr>
          <w:rFonts w:ascii="Calibri" w:hAnsi="Calibri"/>
        </w:rPr>
        <w:t xml:space="preserve"> estabelecidas entre os personagens (descrição e características das relações). Tomar como base os textos sobre conceito de Gênero (Fonseca, 2008)</w:t>
      </w:r>
    </w:p>
    <w:p w:rsidR="00D93429" w:rsidRPr="0004556A" w:rsidRDefault="00D93429" w:rsidP="00D93429">
      <w:pPr>
        <w:pStyle w:val="BodyText2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04556A">
        <w:rPr>
          <w:rFonts w:ascii="Calibri" w:hAnsi="Calibri"/>
          <w:b/>
        </w:rPr>
        <w:t xml:space="preserve">Questões de gênero </w:t>
      </w:r>
      <w:r w:rsidRPr="0004556A">
        <w:rPr>
          <w:rFonts w:ascii="Calibri" w:hAnsi="Calibri"/>
        </w:rPr>
        <w:t xml:space="preserve">podem ser evidenciadas no filme e possíveis explicações para sua ocorrência. </w:t>
      </w:r>
    </w:p>
    <w:p w:rsidR="00D93429" w:rsidRPr="0004556A" w:rsidRDefault="00D93429" w:rsidP="00D93429">
      <w:pPr>
        <w:pStyle w:val="BodyText2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04556A">
        <w:rPr>
          <w:rFonts w:ascii="Calibri" w:hAnsi="Calibri"/>
          <w:b/>
        </w:rPr>
        <w:t>Síntese:</w:t>
      </w:r>
      <w:r w:rsidRPr="0004556A">
        <w:rPr>
          <w:rFonts w:ascii="Calibri" w:hAnsi="Calibri"/>
        </w:rPr>
        <w:t xml:space="preserve"> apreciação do filme e pertinência para o programa da disciplina em  curso. </w:t>
      </w:r>
    </w:p>
    <w:p w:rsidR="00D93429" w:rsidRPr="0004556A" w:rsidRDefault="00D93429" w:rsidP="00D9342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D93429" w:rsidRPr="0004556A" w:rsidRDefault="00D93429" w:rsidP="00D93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libri" w:eastAsia="Cambria" w:hAnsi="Calibri" w:cs="Arial"/>
          <w:b/>
          <w:bCs/>
          <w:color w:val="000000"/>
        </w:rPr>
      </w:pPr>
      <w:r w:rsidRPr="0004556A">
        <w:rPr>
          <w:rFonts w:ascii="Calibri" w:eastAsia="Cambria" w:hAnsi="Calibri" w:cs="Arial"/>
          <w:b/>
          <w:bCs/>
          <w:color w:val="000000"/>
        </w:rPr>
        <w:t xml:space="preserve">Bibliografia para fundamentar a análise: </w:t>
      </w:r>
    </w:p>
    <w:p w:rsidR="00D93429" w:rsidRPr="0004556A" w:rsidRDefault="004C7E2D" w:rsidP="004C7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b/>
          <w:bCs/>
          <w:color w:val="000000"/>
        </w:rPr>
        <w:t>1</w:t>
      </w:r>
      <w:r w:rsidR="00D93429" w:rsidRPr="0004556A">
        <w:rPr>
          <w:rFonts w:ascii="Calibri" w:eastAsia="Cambria" w:hAnsi="Calibri" w:cs="Arial"/>
          <w:b/>
          <w:bCs/>
          <w:color w:val="000000"/>
        </w:rPr>
        <w:t xml:space="preserve">. </w:t>
      </w:r>
      <w:r w:rsidR="00D93429" w:rsidRPr="0004556A">
        <w:rPr>
          <w:rFonts w:ascii="Calibri" w:eastAsia="Cambria" w:hAnsi="Calibri" w:cs="Arial"/>
          <w:color w:val="000000"/>
        </w:rPr>
        <w:t xml:space="preserve">Fonseca RMGS. Gênero como categoria para a compreensão e a intervenção no processo saúde-doença. PROENF- Programa de atualização em Enfermagem na saúde do adulto. Porto Alegre: </w:t>
      </w:r>
      <w:proofErr w:type="spellStart"/>
      <w:r w:rsidR="00D93429" w:rsidRPr="0004556A">
        <w:rPr>
          <w:rFonts w:ascii="Calibri" w:eastAsia="Cambria" w:hAnsi="Calibri" w:cs="Arial"/>
          <w:color w:val="000000"/>
        </w:rPr>
        <w:t>Artmed</w:t>
      </w:r>
      <w:proofErr w:type="spellEnd"/>
      <w:r w:rsidR="00D93429" w:rsidRPr="0004556A">
        <w:rPr>
          <w:rFonts w:ascii="Calibri" w:eastAsia="Cambria" w:hAnsi="Calibri" w:cs="Arial"/>
          <w:color w:val="000000"/>
        </w:rPr>
        <w:t>/</w:t>
      </w:r>
      <w:proofErr w:type="spellStart"/>
      <w:r w:rsidR="00D93429" w:rsidRPr="0004556A">
        <w:rPr>
          <w:rFonts w:ascii="Calibri" w:eastAsia="Cambria" w:hAnsi="Calibri" w:cs="Arial"/>
          <w:color w:val="000000"/>
        </w:rPr>
        <w:t>Panamericana</w:t>
      </w:r>
      <w:proofErr w:type="spellEnd"/>
      <w:r w:rsidR="00D93429" w:rsidRPr="0004556A">
        <w:rPr>
          <w:rFonts w:ascii="Calibri" w:eastAsia="Cambria" w:hAnsi="Calibri" w:cs="Arial"/>
          <w:color w:val="000000"/>
        </w:rPr>
        <w:t>, 2008, v.3, p.9-39</w:t>
      </w:r>
    </w:p>
    <w:p w:rsidR="00A56ECB" w:rsidRDefault="004C7E2D" w:rsidP="00A56ECB">
      <w:pPr>
        <w:spacing w:before="120"/>
        <w:ind w:left="284" w:hanging="284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b/>
          <w:bCs/>
          <w:color w:val="000000"/>
        </w:rPr>
        <w:t>2</w:t>
      </w:r>
      <w:r w:rsidR="00D93429" w:rsidRPr="0004556A">
        <w:rPr>
          <w:rFonts w:ascii="Calibri" w:eastAsia="Cambria" w:hAnsi="Calibri" w:cs="Arial"/>
          <w:b/>
          <w:bCs/>
          <w:color w:val="000000"/>
        </w:rPr>
        <w:t xml:space="preserve">. </w:t>
      </w:r>
      <w:r w:rsidR="00D93429" w:rsidRPr="0004556A">
        <w:rPr>
          <w:rFonts w:ascii="Calibri" w:eastAsia="Cambria" w:hAnsi="Calibri" w:cs="Arial"/>
          <w:color w:val="000000"/>
        </w:rPr>
        <w:t>Fonseca RMGS A construção da identidade de mulheres e homens como processo histórico-social. São Paulo, Escola de Enfermagem da USP, 2001. Texto Didático.</w:t>
      </w:r>
    </w:p>
    <w:p w:rsidR="00D93429" w:rsidRPr="0004556A" w:rsidRDefault="00D93429" w:rsidP="00D93429">
      <w:pPr>
        <w:spacing w:before="120"/>
        <w:ind w:left="284" w:hanging="284"/>
        <w:rPr>
          <w:rFonts w:ascii="Calibri" w:eastAsia="Cambria" w:hAnsi="Calibri" w:cs="Arial"/>
          <w:color w:val="000000"/>
        </w:rPr>
      </w:pPr>
    </w:p>
    <w:p w:rsidR="005F6BFC" w:rsidRPr="005F6BFC" w:rsidRDefault="005F6BFC" w:rsidP="00D934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</w:rPr>
      </w:pPr>
    </w:p>
    <w:sectPr w:rsidR="005F6BFC" w:rsidRPr="005F6BFC" w:rsidSect="005F6B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997"/>
    <w:multiLevelType w:val="hybridMultilevel"/>
    <w:tmpl w:val="4C68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BFC"/>
    <w:rsid w:val="00043BD7"/>
    <w:rsid w:val="00186B5B"/>
    <w:rsid w:val="00272771"/>
    <w:rsid w:val="003D729E"/>
    <w:rsid w:val="004C7E2D"/>
    <w:rsid w:val="005F6BFC"/>
    <w:rsid w:val="008D575C"/>
    <w:rsid w:val="00A56ECB"/>
    <w:rsid w:val="00BF569B"/>
    <w:rsid w:val="00C836FD"/>
    <w:rsid w:val="00D93429"/>
    <w:rsid w:val="00DA0B55"/>
    <w:rsid w:val="00FA2B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24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B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BFC"/>
  </w:style>
  <w:style w:type="character" w:styleId="FootnoteReference">
    <w:name w:val="footnote reference"/>
    <w:basedOn w:val="DefaultParagraphFont"/>
    <w:uiPriority w:val="99"/>
    <w:semiHidden/>
    <w:unhideWhenUsed/>
    <w:rsid w:val="005F6B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F6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D729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3D72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D93429"/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rsid w:val="00D93429"/>
    <w:rPr>
      <w:rFonts w:ascii="Bookman Old Style" w:eastAsia="Times New Roman" w:hAnsi="Bookman Old Style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Macintosh Word</Application>
  <DocSecurity>0</DocSecurity>
  <Lines>18</Lines>
  <Paragraphs>4</Paragraphs>
  <ScaleCrop>false</ScaleCrop>
  <Company>Universidade de Sao Paulo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Godoy Serpa da Fonseca</dc:creator>
  <cp:keywords/>
  <cp:lastModifiedBy>Rosa Maria Godoy Serpa da Fonseca</cp:lastModifiedBy>
  <cp:revision>7</cp:revision>
  <dcterms:created xsi:type="dcterms:W3CDTF">2014-03-24T17:54:00Z</dcterms:created>
  <dcterms:modified xsi:type="dcterms:W3CDTF">2014-03-24T17:59:00Z</dcterms:modified>
</cp:coreProperties>
</file>