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10" w:rsidRDefault="00DB7710" w:rsidP="00C403DB">
      <w:pPr>
        <w:spacing w:before="0" w:after="0"/>
        <w:rPr>
          <w:lang w:val="pt-BR"/>
        </w:rPr>
      </w:pPr>
      <w:r>
        <w:rPr>
          <w:lang w:val="pt-BR"/>
        </w:rPr>
        <w:t>Engenharia e Ciência dos Materiais II (SMM0194)</w:t>
      </w:r>
    </w:p>
    <w:p w:rsidR="00286A63" w:rsidRDefault="00DB7710" w:rsidP="00C403DB">
      <w:pPr>
        <w:spacing w:before="0" w:after="0"/>
        <w:rPr>
          <w:lang w:val="pt-BR"/>
        </w:rPr>
      </w:pPr>
      <w:r>
        <w:rPr>
          <w:lang w:val="pt-BR"/>
        </w:rPr>
        <w:t xml:space="preserve">Roteiro – Aula Prática </w:t>
      </w:r>
      <w:proofErr w:type="gramStart"/>
      <w:r>
        <w:rPr>
          <w:lang w:val="pt-BR"/>
        </w:rPr>
        <w:t>2</w:t>
      </w:r>
      <w:proofErr w:type="gramEnd"/>
      <w:r>
        <w:rPr>
          <w:lang w:val="pt-BR"/>
        </w:rPr>
        <w:t xml:space="preserve"> – Ensaio mecânico de materiais cerâmicos</w:t>
      </w:r>
    </w:p>
    <w:p w:rsidR="004810A4" w:rsidRDefault="004810A4" w:rsidP="00C403DB">
      <w:pPr>
        <w:spacing w:before="0" w:after="0"/>
        <w:rPr>
          <w:lang w:val="pt-BR"/>
        </w:rPr>
      </w:pPr>
      <w:r>
        <w:rPr>
          <w:lang w:val="pt-BR"/>
        </w:rPr>
        <w:t>Autor: Prof. Eduardo Bellini Ferreira</w:t>
      </w:r>
      <w:r w:rsidR="00C403DB">
        <w:rPr>
          <w:lang w:val="pt-BR"/>
        </w:rPr>
        <w:t xml:space="preserve"> (e adaptado nesse formato pelo Prof. Rafael Salomão)</w:t>
      </w:r>
    </w:p>
    <w:p w:rsidR="00DB7710" w:rsidRDefault="00DB7710" w:rsidP="00C403DB">
      <w:pPr>
        <w:spacing w:before="0" w:after="0"/>
        <w:rPr>
          <w:lang w:val="pt-BR"/>
        </w:rPr>
      </w:pPr>
    </w:p>
    <w:p w:rsidR="00DB7710" w:rsidRDefault="00DB7710" w:rsidP="00C403DB">
      <w:pPr>
        <w:pStyle w:val="Ttulo1"/>
        <w:spacing w:before="0" w:after="0" w:line="240" w:lineRule="auto"/>
        <w:rPr>
          <w:lang w:val="pt-BR"/>
        </w:rPr>
      </w:pPr>
      <w:r>
        <w:rPr>
          <w:lang w:val="pt-BR"/>
        </w:rPr>
        <w:t>Introdução</w:t>
      </w:r>
    </w:p>
    <w:p w:rsidR="006D2BD3" w:rsidRDefault="00E63AB2" w:rsidP="00C403DB">
      <w:pPr>
        <w:spacing w:before="0" w:after="0"/>
        <w:rPr>
          <w:lang w:val="pt-BR"/>
        </w:rPr>
      </w:pPr>
      <w:r>
        <w:rPr>
          <w:lang w:val="pt-BR"/>
        </w:rPr>
        <w:t xml:space="preserve">Materiais cerâmicos são raramente </w:t>
      </w:r>
      <w:r w:rsidR="007E73B9">
        <w:rPr>
          <w:lang w:val="pt-BR"/>
        </w:rPr>
        <w:t xml:space="preserve">testados </w:t>
      </w:r>
      <w:r w:rsidR="00B02B81">
        <w:rPr>
          <w:lang w:val="pt-BR"/>
        </w:rPr>
        <w:t xml:space="preserve">em </w:t>
      </w:r>
      <w:r w:rsidR="007E73B9">
        <w:rPr>
          <w:lang w:val="pt-BR"/>
        </w:rPr>
        <w:t xml:space="preserve">ensaios de </w:t>
      </w:r>
      <w:r>
        <w:rPr>
          <w:lang w:val="pt-BR"/>
        </w:rPr>
        <w:t xml:space="preserve">tração pura. Isso ocorre, pois é muito difícil preparar corpos de prova </w:t>
      </w:r>
      <w:r w:rsidR="007E73B9">
        <w:rPr>
          <w:lang w:val="pt-BR"/>
        </w:rPr>
        <w:t xml:space="preserve">cerâmicos </w:t>
      </w:r>
      <w:r>
        <w:rPr>
          <w:lang w:val="pt-BR"/>
        </w:rPr>
        <w:t>confiáveis</w:t>
      </w:r>
      <w:r w:rsidR="007E73B9">
        <w:rPr>
          <w:lang w:val="pt-BR"/>
        </w:rPr>
        <w:t xml:space="preserve"> para esse tipo de teste</w:t>
      </w:r>
      <w:r>
        <w:rPr>
          <w:lang w:val="pt-BR"/>
        </w:rPr>
        <w:t>, cujos resultados sejam independentes do processo de fabricação do próprio corpo de prova</w:t>
      </w:r>
      <w:r w:rsidR="00B43D98">
        <w:rPr>
          <w:lang w:val="pt-BR"/>
        </w:rPr>
        <w:t xml:space="preserve">, ou da forma como o </w:t>
      </w:r>
      <w:r w:rsidR="007E73B9">
        <w:rPr>
          <w:lang w:val="pt-BR"/>
        </w:rPr>
        <w:t>mesmo</w:t>
      </w:r>
      <w:r w:rsidR="00B43D98">
        <w:rPr>
          <w:lang w:val="pt-BR"/>
        </w:rPr>
        <w:t xml:space="preserve"> é preso </w:t>
      </w:r>
      <w:r w:rsidR="000464F4">
        <w:rPr>
          <w:lang w:val="pt-BR"/>
        </w:rPr>
        <w:t>à</w:t>
      </w:r>
      <w:r w:rsidR="00B43D98">
        <w:rPr>
          <w:lang w:val="pt-BR"/>
        </w:rPr>
        <w:t xml:space="preserve"> máquina de ensaio </w:t>
      </w:r>
      <w:r w:rsidR="0089516C">
        <w:rPr>
          <w:lang w:val="pt-BR"/>
        </w:rPr>
        <w:t>(</w:t>
      </w:r>
      <w:r w:rsidR="00B43D98">
        <w:rPr>
          <w:lang w:val="pt-BR"/>
        </w:rPr>
        <w:t xml:space="preserve">o mesmo pode fraturar onde </w:t>
      </w:r>
      <w:r w:rsidR="000464F4">
        <w:rPr>
          <w:lang w:val="pt-BR"/>
        </w:rPr>
        <w:t>é</w:t>
      </w:r>
      <w:r w:rsidR="00B43D98">
        <w:rPr>
          <w:lang w:val="pt-BR"/>
        </w:rPr>
        <w:t xml:space="preserve"> pre</w:t>
      </w:r>
      <w:r w:rsidR="000464F4">
        <w:rPr>
          <w:lang w:val="pt-BR"/>
        </w:rPr>
        <w:t>so</w:t>
      </w:r>
      <w:r w:rsidR="00B43D98">
        <w:rPr>
          <w:lang w:val="pt-BR"/>
        </w:rPr>
        <w:t xml:space="preserve"> </w:t>
      </w:r>
      <w:r w:rsidR="000464F4">
        <w:rPr>
          <w:lang w:val="pt-BR"/>
        </w:rPr>
        <w:t>n</w:t>
      </w:r>
      <w:r w:rsidR="00B43D98">
        <w:rPr>
          <w:lang w:val="pt-BR"/>
        </w:rPr>
        <w:t>o dispositivo de tração</w:t>
      </w:r>
      <w:r w:rsidR="0089516C">
        <w:rPr>
          <w:lang w:val="pt-BR"/>
        </w:rPr>
        <w:t xml:space="preserve">). Isso </w:t>
      </w:r>
      <w:r w:rsidR="000464F4">
        <w:rPr>
          <w:lang w:val="pt-BR"/>
        </w:rPr>
        <w:t>se</w:t>
      </w:r>
      <w:r w:rsidR="00B43D98">
        <w:rPr>
          <w:lang w:val="pt-BR"/>
        </w:rPr>
        <w:t xml:space="preserve"> dev</w:t>
      </w:r>
      <w:r w:rsidR="000464F4">
        <w:rPr>
          <w:lang w:val="pt-BR"/>
        </w:rPr>
        <w:t>e</w:t>
      </w:r>
      <w:r w:rsidR="00B43D98">
        <w:rPr>
          <w:lang w:val="pt-BR"/>
        </w:rPr>
        <w:t xml:space="preserve"> à baixa tenacidade à fratura</w:t>
      </w:r>
      <w:r w:rsidR="007E73B9">
        <w:rPr>
          <w:lang w:val="pt-BR"/>
        </w:rPr>
        <w:t xml:space="preserve"> </w:t>
      </w:r>
      <w:r w:rsidR="000464F4">
        <w:rPr>
          <w:lang w:val="pt-BR"/>
        </w:rPr>
        <w:t xml:space="preserve">típica </w:t>
      </w:r>
      <w:r w:rsidR="007E73B9">
        <w:rPr>
          <w:lang w:val="pt-BR"/>
        </w:rPr>
        <w:t>d</w:t>
      </w:r>
      <w:r w:rsidR="0089516C">
        <w:rPr>
          <w:lang w:val="pt-BR"/>
        </w:rPr>
        <w:t>esses</w:t>
      </w:r>
      <w:r w:rsidR="007E73B9">
        <w:rPr>
          <w:lang w:val="pt-BR"/>
        </w:rPr>
        <w:t xml:space="preserve"> materia</w:t>
      </w:r>
      <w:r w:rsidR="0089516C">
        <w:rPr>
          <w:lang w:val="pt-BR"/>
        </w:rPr>
        <w:t>is</w:t>
      </w:r>
      <w:r>
        <w:rPr>
          <w:lang w:val="pt-BR"/>
        </w:rPr>
        <w:t>.</w:t>
      </w:r>
      <w:r w:rsidR="00C403DB">
        <w:rPr>
          <w:lang w:val="pt-BR"/>
        </w:rPr>
        <w:t xml:space="preserve"> </w:t>
      </w:r>
      <w:r w:rsidR="006D2BD3">
        <w:rPr>
          <w:lang w:val="pt-BR"/>
        </w:rPr>
        <w:t>Pela simplicidade tanto do formato dos corpos de prova (barras ou cilindros</w:t>
      </w:r>
      <w:r w:rsidR="009F039E">
        <w:rPr>
          <w:lang w:val="pt-BR"/>
        </w:rPr>
        <w:t xml:space="preserve"> de seção transversal uniforme</w:t>
      </w:r>
      <w:r w:rsidR="006D2BD3">
        <w:rPr>
          <w:lang w:val="pt-BR"/>
        </w:rPr>
        <w:t xml:space="preserve">) como da realização do ensaio em si, ensaios de flexão são os </w:t>
      </w:r>
      <w:r w:rsidR="009F039E">
        <w:rPr>
          <w:lang w:val="pt-BR"/>
        </w:rPr>
        <w:t xml:space="preserve">mais </w:t>
      </w:r>
      <w:r w:rsidR="006D2BD3">
        <w:rPr>
          <w:lang w:val="pt-BR"/>
        </w:rPr>
        <w:t>populares para materiais cerâmicos</w:t>
      </w:r>
      <w:r w:rsidR="00FB5326">
        <w:rPr>
          <w:lang w:val="pt-BR"/>
        </w:rPr>
        <w:t xml:space="preserve"> em geral</w:t>
      </w:r>
      <w:r w:rsidR="006D2BD3">
        <w:rPr>
          <w:lang w:val="pt-BR"/>
        </w:rPr>
        <w:t>.</w:t>
      </w:r>
      <w:r w:rsidR="009F039E">
        <w:rPr>
          <w:lang w:val="pt-BR"/>
        </w:rPr>
        <w:t xml:space="preserve"> O ensaio consiste em </w:t>
      </w:r>
      <w:r w:rsidR="00C0079C">
        <w:rPr>
          <w:lang w:val="pt-BR"/>
        </w:rPr>
        <w:t xml:space="preserve">aplicar uma carga crescente a um corpo de prova </w:t>
      </w:r>
      <w:r w:rsidR="00806387">
        <w:rPr>
          <w:lang w:val="pt-BR"/>
        </w:rPr>
        <w:t xml:space="preserve">de acordo com a </w:t>
      </w:r>
      <w:r w:rsidR="002A7A3D">
        <w:rPr>
          <w:lang w:val="pt-BR"/>
        </w:rPr>
        <w:t xml:space="preserve">Referência </w:t>
      </w:r>
      <w:proofErr w:type="gramStart"/>
      <w:r w:rsidR="002A7A3D">
        <w:rPr>
          <w:lang w:val="pt-BR"/>
        </w:rPr>
        <w:t>6</w:t>
      </w:r>
      <w:proofErr w:type="gramEnd"/>
      <w:r w:rsidR="007F2F60">
        <w:rPr>
          <w:lang w:val="pt-BR"/>
        </w:rPr>
        <w:t>, até a fratura</w:t>
      </w:r>
      <w:r w:rsidR="00182302">
        <w:rPr>
          <w:lang w:val="pt-BR"/>
        </w:rPr>
        <w:t>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148"/>
        <w:gridCol w:w="5148"/>
      </w:tblGrid>
      <w:tr w:rsidR="00D73CFA" w:rsidTr="007F2F60">
        <w:tc>
          <w:tcPr>
            <w:tcW w:w="5148" w:type="dxa"/>
          </w:tcPr>
          <w:p w:rsidR="00D73CFA" w:rsidRDefault="00D73CFA" w:rsidP="00C403DB">
            <w:pPr>
              <w:spacing w:after="0"/>
              <w:ind w:firstLine="0"/>
              <w:jc w:val="center"/>
              <w:rPr>
                <w:lang w:val="pt-BR"/>
              </w:rPr>
            </w:pPr>
            <w:r>
              <w:rPr>
                <w:noProof/>
                <w:lang w:val="pt-BR" w:eastAsia="pt-BR"/>
              </w:rPr>
              <w:drawing>
                <wp:inline distT="0" distB="0" distL="0" distR="0">
                  <wp:extent cx="3159153" cy="1783080"/>
                  <wp:effectExtent l="19050" t="0" r="3147" b="0"/>
                  <wp:docPr id="6" name="Imagem 6" descr="3-point_flex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-point_flex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87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9153" cy="178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8" w:type="dxa"/>
          </w:tcPr>
          <w:p w:rsidR="00D73CFA" w:rsidRDefault="00D73CFA" w:rsidP="00C403DB">
            <w:pPr>
              <w:spacing w:after="0"/>
              <w:ind w:firstLine="0"/>
              <w:jc w:val="center"/>
              <w:rPr>
                <w:lang w:val="pt-BR"/>
              </w:rPr>
            </w:pPr>
            <w:r>
              <w:rPr>
                <w:noProof/>
                <w:lang w:val="pt-BR" w:eastAsia="pt-BR"/>
              </w:rPr>
              <w:drawing>
                <wp:inline distT="0" distB="0" distL="0" distR="0">
                  <wp:extent cx="2931278" cy="1783080"/>
                  <wp:effectExtent l="19050" t="0" r="2422" b="0"/>
                  <wp:docPr id="9" name="Imagem 9" descr="4-point_flex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4-point_flex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833" cy="1792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CFA" w:rsidRPr="002A7A3D" w:rsidTr="007F2F60">
        <w:tc>
          <w:tcPr>
            <w:tcW w:w="10296" w:type="dxa"/>
            <w:gridSpan w:val="2"/>
          </w:tcPr>
          <w:p w:rsidR="00D73CFA" w:rsidRDefault="00D73CFA" w:rsidP="00C403DB">
            <w:pPr>
              <w:spacing w:after="0"/>
              <w:ind w:firstLine="0"/>
              <w:rPr>
                <w:lang w:val="pt-BR"/>
              </w:rPr>
            </w:pPr>
            <w:r w:rsidRPr="001C2A43">
              <w:rPr>
                <w:lang w:val="pt-BR"/>
              </w:rPr>
              <w:t xml:space="preserve">Figura </w:t>
            </w:r>
            <w:r w:rsidR="00C47A1F">
              <w:fldChar w:fldCharType="begin"/>
            </w:r>
            <w:r w:rsidRPr="001C2A43">
              <w:rPr>
                <w:lang w:val="pt-BR"/>
              </w:rPr>
              <w:instrText xml:space="preserve"> SEQ Figura \* ARABIC </w:instrText>
            </w:r>
            <w:r w:rsidR="00C47A1F">
              <w:fldChar w:fldCharType="separate"/>
            </w:r>
            <w:r w:rsidR="006236A7">
              <w:rPr>
                <w:noProof/>
                <w:lang w:val="pt-BR"/>
              </w:rPr>
              <w:t>1</w:t>
            </w:r>
            <w:r w:rsidR="00C47A1F">
              <w:fldChar w:fldCharType="end"/>
            </w:r>
            <w:r w:rsidRPr="001C2A43">
              <w:rPr>
                <w:lang w:val="pt-BR"/>
              </w:rPr>
              <w:t xml:space="preserve">: Esquema de carregamento </w:t>
            </w:r>
            <w:r>
              <w:rPr>
                <w:lang w:val="pt-BR"/>
              </w:rPr>
              <w:t xml:space="preserve">em três e quatro pontos </w:t>
            </w:r>
            <w:r w:rsidRPr="001C2A43">
              <w:rPr>
                <w:lang w:val="pt-BR"/>
              </w:rPr>
              <w:t>para a determinaç</w:t>
            </w:r>
            <w:r>
              <w:rPr>
                <w:lang w:val="pt-BR"/>
              </w:rPr>
              <w:t>ão do comportamento de tensão-deformação e da resistência à flexão de cerâmicas frágeis.</w:t>
            </w:r>
          </w:p>
        </w:tc>
      </w:tr>
    </w:tbl>
    <w:p w:rsidR="00C403DB" w:rsidRDefault="00C403DB" w:rsidP="00C403DB">
      <w:pPr>
        <w:spacing w:before="0" w:after="0"/>
        <w:rPr>
          <w:lang w:val="pt-BR"/>
        </w:rPr>
      </w:pPr>
    </w:p>
    <w:p w:rsidR="00D73CFA" w:rsidRDefault="007F2F60" w:rsidP="00C403DB">
      <w:pPr>
        <w:spacing w:before="0" w:after="0"/>
        <w:rPr>
          <w:lang w:val="pt-BR"/>
        </w:rPr>
      </w:pPr>
      <w:r>
        <w:rPr>
          <w:lang w:val="pt-BR"/>
        </w:rPr>
        <w:t xml:space="preserve">Para o caso de </w:t>
      </w:r>
      <w:r w:rsidR="00A0700F">
        <w:rPr>
          <w:lang w:val="pt-BR"/>
        </w:rPr>
        <w:t xml:space="preserve">uma carga (F) aplicada em </w:t>
      </w:r>
      <w:r>
        <w:rPr>
          <w:lang w:val="pt-BR"/>
        </w:rPr>
        <w:t xml:space="preserve">flexão 3-pontos em um corpo de prova </w:t>
      </w:r>
      <w:r w:rsidR="00A409BA">
        <w:rPr>
          <w:lang w:val="pt-BR"/>
        </w:rPr>
        <w:t xml:space="preserve">de seção transversal retangular, </w:t>
      </w:r>
      <w:r>
        <w:rPr>
          <w:lang w:val="pt-BR"/>
        </w:rPr>
        <w:t xml:space="preserve">cujo comprimento </w:t>
      </w:r>
      <w:r w:rsidR="00A409BA">
        <w:rPr>
          <w:lang w:val="pt-BR"/>
        </w:rPr>
        <w:t xml:space="preserve">útil </w:t>
      </w:r>
      <w:r>
        <w:rPr>
          <w:lang w:val="pt-BR"/>
        </w:rPr>
        <w:t>(</w:t>
      </w:r>
      <w:r w:rsidR="00A409BA">
        <w:rPr>
          <w:lang w:val="pt-BR"/>
        </w:rPr>
        <w:t xml:space="preserve">a distância entre apoios, </w:t>
      </w:r>
      <w:r>
        <w:rPr>
          <w:lang w:val="pt-BR"/>
        </w:rPr>
        <w:t xml:space="preserve">L) </w:t>
      </w:r>
      <w:r w:rsidR="00A409BA">
        <w:rPr>
          <w:lang w:val="pt-BR"/>
        </w:rPr>
        <w:t>deve ser</w:t>
      </w:r>
      <w:r>
        <w:rPr>
          <w:lang w:val="pt-BR"/>
        </w:rPr>
        <w:t xml:space="preserve"> </w:t>
      </w:r>
      <w:r w:rsidR="00A409BA">
        <w:rPr>
          <w:lang w:val="pt-BR"/>
        </w:rPr>
        <w:t>substancialmente</w:t>
      </w:r>
      <w:r>
        <w:rPr>
          <w:lang w:val="pt-BR"/>
        </w:rPr>
        <w:t xml:space="preserve"> maior que a largura (b) e a espessura (h), a tensão máxima de ruptura, também chamada Módulo de Ruptura (MOR – da sigla em inglês), </w:t>
      </w:r>
      <w:r w:rsidR="00A0700F">
        <w:rPr>
          <w:lang w:val="pt-BR"/>
        </w:rPr>
        <w:t>ocorre quando uma carga máxima (</w:t>
      </w:r>
      <w:proofErr w:type="spellStart"/>
      <w:r w:rsidR="00A0700F">
        <w:rPr>
          <w:lang w:val="pt-BR"/>
        </w:rPr>
        <w:t>F</w:t>
      </w:r>
      <w:r w:rsidR="00A0700F" w:rsidRPr="00A0700F">
        <w:rPr>
          <w:vertAlign w:val="subscript"/>
          <w:lang w:val="pt-BR"/>
        </w:rPr>
        <w:t>máx</w:t>
      </w:r>
      <w:proofErr w:type="spellEnd"/>
      <w:r w:rsidR="00A0700F">
        <w:rPr>
          <w:lang w:val="pt-BR"/>
        </w:rPr>
        <w:t>) rompe o material</w:t>
      </w:r>
      <w:r w:rsidR="00A71364">
        <w:rPr>
          <w:lang w:val="pt-BR"/>
        </w:rPr>
        <w:t>,</w:t>
      </w:r>
      <w:r w:rsidR="00A0700F">
        <w:rPr>
          <w:lang w:val="pt-BR"/>
        </w:rPr>
        <w:t xml:space="preserve"> </w:t>
      </w:r>
      <w:r w:rsidR="00A71364">
        <w:rPr>
          <w:lang w:val="pt-BR"/>
        </w:rPr>
        <w:t xml:space="preserve">a qual </w:t>
      </w:r>
      <w:r>
        <w:rPr>
          <w:lang w:val="pt-BR"/>
        </w:rPr>
        <w:t xml:space="preserve">é calculada de acordo com a </w:t>
      </w:r>
      <w:r w:rsidR="00A71364">
        <w:rPr>
          <w:lang w:val="pt-BR"/>
        </w:rPr>
        <w:t xml:space="preserve">seguinte </w:t>
      </w:r>
      <w:r>
        <w:rPr>
          <w:lang w:val="pt-BR"/>
        </w:rPr>
        <w:t>expressão:</w:t>
      </w:r>
    </w:p>
    <w:tbl>
      <w:tblPr>
        <w:tblStyle w:val="Tabelacomgrade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4"/>
        <w:gridCol w:w="3991"/>
      </w:tblGrid>
      <w:tr w:rsidR="007F2F60" w:rsidRPr="00DB7710" w:rsidTr="0020498A">
        <w:tc>
          <w:tcPr>
            <w:tcW w:w="4354" w:type="dxa"/>
            <w:vAlign w:val="center"/>
          </w:tcPr>
          <w:p w:rsidR="007F2F60" w:rsidRPr="00DB7710" w:rsidRDefault="008A04C5" w:rsidP="00C403DB">
            <w:pPr>
              <w:spacing w:after="0"/>
              <w:ind w:firstLine="0"/>
              <w:jc w:val="center"/>
              <w:rPr>
                <w:lang w:val="pt-BR"/>
              </w:rPr>
            </w:pPr>
            <w:r w:rsidRPr="00D80927">
              <w:rPr>
                <w:position w:val="-22"/>
                <w:lang w:val="pt-BR"/>
              </w:rPr>
              <w:object w:dxaOrig="110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2pt;height:27pt" o:ole="">
                  <v:imagedata r:id="rId10" o:title=""/>
                </v:shape>
                <o:OLEObject Type="Embed" ProgID="Equation.3" ShapeID="_x0000_i1025" DrawAspect="Content" ObjectID="_1407220461" r:id="rId11"/>
              </w:object>
            </w:r>
          </w:p>
        </w:tc>
        <w:tc>
          <w:tcPr>
            <w:tcW w:w="3991" w:type="dxa"/>
            <w:vAlign w:val="center"/>
          </w:tcPr>
          <w:p w:rsidR="007F2F60" w:rsidRPr="00DB7710" w:rsidRDefault="007F2F60" w:rsidP="00C403DB">
            <w:pPr>
              <w:keepNext/>
              <w:spacing w:after="0"/>
              <w:ind w:firstLine="0"/>
              <w:jc w:val="center"/>
              <w:rPr>
                <w:lang w:val="pt-BR"/>
              </w:rPr>
            </w:pPr>
            <w:bookmarkStart w:id="0" w:name="_Ref333012296"/>
            <w:r>
              <w:t>(</w:t>
            </w:r>
            <w:r w:rsidR="00C47A1F">
              <w:fldChar w:fldCharType="begin"/>
            </w:r>
            <w:r>
              <w:instrText xml:space="preserve"> SEQ ( \* ARABIC </w:instrText>
            </w:r>
            <w:r w:rsidR="00C47A1F">
              <w:fldChar w:fldCharType="separate"/>
            </w:r>
            <w:r w:rsidR="006236A7">
              <w:rPr>
                <w:noProof/>
              </w:rPr>
              <w:t>1</w:t>
            </w:r>
            <w:r w:rsidR="00C47A1F">
              <w:fldChar w:fldCharType="end"/>
            </w:r>
            <w:r>
              <w:t>)</w:t>
            </w:r>
            <w:bookmarkEnd w:id="0"/>
          </w:p>
        </w:tc>
      </w:tr>
    </w:tbl>
    <w:p w:rsidR="00BF3E42" w:rsidRPr="002B0CAE" w:rsidRDefault="00BF3E42" w:rsidP="00C403DB">
      <w:pPr>
        <w:spacing w:before="0" w:after="0"/>
        <w:jc w:val="center"/>
        <w:rPr>
          <w:lang w:val="pt-BR"/>
        </w:rPr>
      </w:pPr>
    </w:p>
    <w:p w:rsidR="002D64CD" w:rsidRPr="002D64CD" w:rsidRDefault="002D64CD" w:rsidP="00C403DB">
      <w:pPr>
        <w:spacing w:before="0" w:after="0"/>
        <w:rPr>
          <w:lang w:val="pt-BR"/>
        </w:rPr>
      </w:pPr>
    </w:p>
    <w:p w:rsidR="00204520" w:rsidRDefault="00DF4328" w:rsidP="00C403DB">
      <w:pPr>
        <w:pStyle w:val="Ttulo1"/>
        <w:spacing w:before="0" w:after="0" w:line="240" w:lineRule="auto"/>
        <w:rPr>
          <w:lang w:val="pt-BR"/>
        </w:rPr>
      </w:pPr>
      <w:r>
        <w:rPr>
          <w:lang w:val="pt-BR"/>
        </w:rPr>
        <w:t>Roteiro</w:t>
      </w:r>
      <w:r w:rsidR="00FC70EF">
        <w:rPr>
          <w:lang w:val="pt-BR"/>
        </w:rPr>
        <w:t xml:space="preserve"> Experimental</w:t>
      </w:r>
    </w:p>
    <w:p w:rsidR="00DF4328" w:rsidRDefault="00244BC6" w:rsidP="00C403DB">
      <w:pPr>
        <w:pStyle w:val="PargrafodaLista"/>
        <w:numPr>
          <w:ilvl w:val="0"/>
          <w:numId w:val="1"/>
        </w:numPr>
        <w:spacing w:before="0" w:after="0"/>
        <w:rPr>
          <w:lang w:val="pt-BR"/>
        </w:rPr>
      </w:pPr>
      <w:r>
        <w:rPr>
          <w:lang w:val="pt-BR"/>
        </w:rPr>
        <w:t xml:space="preserve">Serão ensaiados </w:t>
      </w:r>
      <w:proofErr w:type="gramStart"/>
      <w:r w:rsidR="002A7A3D">
        <w:rPr>
          <w:lang w:val="pt-BR"/>
        </w:rPr>
        <w:t>6</w:t>
      </w:r>
      <w:proofErr w:type="gramEnd"/>
      <w:r w:rsidR="001E3B15">
        <w:rPr>
          <w:lang w:val="pt-BR"/>
        </w:rPr>
        <w:t xml:space="preserve"> corpos de prova cerâmicos à base de uma argila vermelha denominada </w:t>
      </w:r>
      <w:proofErr w:type="spellStart"/>
      <w:r w:rsidR="001E3B15">
        <w:rPr>
          <w:lang w:val="pt-BR"/>
        </w:rPr>
        <w:t>Taguá</w:t>
      </w:r>
      <w:proofErr w:type="spellEnd"/>
      <w:r w:rsidR="001E3B15">
        <w:rPr>
          <w:lang w:val="pt-BR"/>
        </w:rPr>
        <w:t xml:space="preserve">, previamente prensados e queimados </w:t>
      </w:r>
      <w:r>
        <w:rPr>
          <w:lang w:val="pt-BR"/>
        </w:rPr>
        <w:t xml:space="preserve">em grupos de </w:t>
      </w:r>
      <w:r w:rsidR="002A7A3D">
        <w:rPr>
          <w:lang w:val="pt-BR"/>
        </w:rPr>
        <w:t>3</w:t>
      </w:r>
      <w:r>
        <w:rPr>
          <w:lang w:val="pt-BR"/>
        </w:rPr>
        <w:t xml:space="preserve"> </w:t>
      </w:r>
      <w:r w:rsidR="001E3B15">
        <w:rPr>
          <w:lang w:val="pt-BR"/>
        </w:rPr>
        <w:t>em temperaturas diferentes: 800, 900 e 1000</w:t>
      </w:r>
      <w:r w:rsidR="001E3B15">
        <w:rPr>
          <w:lang w:val="pt-BR"/>
        </w:rPr>
        <w:sym w:font="Symbol" w:char="F0B0"/>
      </w:r>
      <w:r w:rsidR="001E3B15">
        <w:rPr>
          <w:lang w:val="pt-BR"/>
        </w:rPr>
        <w:t>C;</w:t>
      </w:r>
    </w:p>
    <w:p w:rsidR="001E3B15" w:rsidRDefault="001E3B15" w:rsidP="00C403DB">
      <w:pPr>
        <w:pStyle w:val="PargrafodaLista"/>
        <w:numPr>
          <w:ilvl w:val="0"/>
          <w:numId w:val="1"/>
        </w:numPr>
        <w:spacing w:before="0" w:after="0"/>
        <w:rPr>
          <w:lang w:val="pt-BR"/>
        </w:rPr>
      </w:pPr>
      <w:r>
        <w:rPr>
          <w:lang w:val="pt-BR"/>
        </w:rPr>
        <w:t xml:space="preserve">Medir a espessura e a largura dos corpos de prova. O comprimento L é determinado pela distância entre apoios </w:t>
      </w:r>
      <w:r w:rsidR="00244BC6">
        <w:rPr>
          <w:lang w:val="pt-BR"/>
        </w:rPr>
        <w:t>n</w:t>
      </w:r>
      <w:r>
        <w:rPr>
          <w:lang w:val="pt-BR"/>
        </w:rPr>
        <w:t>o dispositivo de ensaio em flexão 3-pontos;</w:t>
      </w:r>
    </w:p>
    <w:p w:rsidR="001E3B15" w:rsidRDefault="00FC70EF" w:rsidP="00C403DB">
      <w:pPr>
        <w:pStyle w:val="PargrafodaLista"/>
        <w:numPr>
          <w:ilvl w:val="0"/>
          <w:numId w:val="1"/>
        </w:numPr>
        <w:spacing w:before="0" w:after="0"/>
        <w:rPr>
          <w:lang w:val="pt-BR"/>
        </w:rPr>
      </w:pPr>
      <w:r>
        <w:rPr>
          <w:lang w:val="pt-BR"/>
        </w:rPr>
        <w:t xml:space="preserve">Realizar os ensaios de acordo com a recomendação da Norma </w:t>
      </w:r>
      <w:r w:rsidR="002A7A3D">
        <w:rPr>
          <w:lang w:val="pt-BR"/>
        </w:rPr>
        <w:t xml:space="preserve">ASTM </w:t>
      </w:r>
      <w:r w:rsidR="00C403DB">
        <w:rPr>
          <w:lang w:val="pt-BR"/>
        </w:rPr>
        <w:t>apropriada</w:t>
      </w:r>
      <w:r w:rsidR="002A7A3D">
        <w:rPr>
          <w:lang w:val="pt-BR"/>
        </w:rPr>
        <w:t xml:space="preserve"> (referência </w:t>
      </w:r>
      <w:proofErr w:type="gramStart"/>
      <w:r w:rsidR="002A7A3D">
        <w:rPr>
          <w:lang w:val="pt-BR"/>
        </w:rPr>
        <w:t>6</w:t>
      </w:r>
      <w:proofErr w:type="gramEnd"/>
      <w:r w:rsidR="002A7A3D">
        <w:rPr>
          <w:lang w:val="pt-BR"/>
        </w:rPr>
        <w:t>)</w:t>
      </w:r>
      <w:r>
        <w:rPr>
          <w:lang w:val="pt-BR"/>
        </w:rPr>
        <w:t xml:space="preserve">. </w:t>
      </w:r>
      <w:r w:rsidR="00C403DB">
        <w:rPr>
          <w:lang w:val="pt-BR"/>
        </w:rPr>
        <w:t>A</w:t>
      </w:r>
      <w:r>
        <w:rPr>
          <w:lang w:val="pt-BR"/>
        </w:rPr>
        <w:t>not</w:t>
      </w:r>
      <w:r w:rsidR="002A7A3D">
        <w:rPr>
          <w:lang w:val="pt-BR"/>
        </w:rPr>
        <w:t>a</w:t>
      </w:r>
      <w:r w:rsidR="00C403DB">
        <w:rPr>
          <w:lang w:val="pt-BR"/>
        </w:rPr>
        <w:t>r</w:t>
      </w:r>
      <w:r>
        <w:rPr>
          <w:lang w:val="pt-BR"/>
        </w:rPr>
        <w:t xml:space="preserve"> todos os dados do ensaio para o relatório: modelo e fabricante da máquina de ensaios, velocidade do atuador, etc.;</w:t>
      </w:r>
    </w:p>
    <w:p w:rsidR="00FC70EF" w:rsidRDefault="00FC70EF" w:rsidP="00C403DB">
      <w:pPr>
        <w:pStyle w:val="PargrafodaLista"/>
        <w:numPr>
          <w:ilvl w:val="0"/>
          <w:numId w:val="1"/>
        </w:numPr>
        <w:spacing w:before="0" w:after="0"/>
        <w:rPr>
          <w:lang w:val="pt-BR"/>
        </w:rPr>
      </w:pPr>
      <w:r>
        <w:rPr>
          <w:lang w:val="pt-BR"/>
        </w:rPr>
        <w:t>Após a fratura, anote o valor da carga máxima alc</w:t>
      </w:r>
      <w:r w:rsidR="002A7A3D">
        <w:rPr>
          <w:lang w:val="pt-BR"/>
        </w:rPr>
        <w:t>ançada para cada corpo de prova.</w:t>
      </w:r>
    </w:p>
    <w:p w:rsidR="00AF31C9" w:rsidRDefault="00AF31C9">
      <w:pPr>
        <w:spacing w:after="240"/>
        <w:ind w:left="709" w:hanging="284"/>
        <w:rPr>
          <w:rFonts w:ascii="Times New Roman" w:eastAsiaTheme="majorEastAsia" w:hAnsi="Times New Roman" w:cstheme="majorBidi"/>
          <w:b/>
          <w:bCs/>
          <w:szCs w:val="28"/>
          <w:lang w:val="pt-BR"/>
        </w:rPr>
      </w:pPr>
      <w:r>
        <w:rPr>
          <w:lang w:val="pt-BR"/>
        </w:rPr>
        <w:br w:type="page"/>
      </w:r>
    </w:p>
    <w:p w:rsidR="00FC70EF" w:rsidRDefault="00FC70EF" w:rsidP="00C403DB">
      <w:pPr>
        <w:pStyle w:val="Ttulo1"/>
        <w:spacing w:before="0" w:after="0" w:line="240" w:lineRule="auto"/>
        <w:rPr>
          <w:lang w:val="pt-BR"/>
        </w:rPr>
      </w:pPr>
      <w:r>
        <w:rPr>
          <w:lang w:val="pt-BR"/>
        </w:rPr>
        <w:lastRenderedPageBreak/>
        <w:t>Para o relatório</w:t>
      </w:r>
      <w:r w:rsidR="00AF31C9">
        <w:rPr>
          <w:lang w:val="pt-BR"/>
        </w:rPr>
        <w:t xml:space="preserve"> (entrega na semana </w:t>
      </w:r>
      <w:r w:rsidR="00332CD0">
        <w:rPr>
          <w:lang w:val="pt-BR"/>
        </w:rPr>
        <w:t>10</w:t>
      </w:r>
      <w:r w:rsidR="00AF31C9">
        <w:rPr>
          <w:lang w:val="pt-BR"/>
        </w:rPr>
        <w:t>-</w:t>
      </w:r>
      <w:r w:rsidR="00332CD0">
        <w:rPr>
          <w:lang w:val="pt-BR"/>
        </w:rPr>
        <w:t>14</w:t>
      </w:r>
      <w:r w:rsidR="00AF31C9">
        <w:rPr>
          <w:lang w:val="pt-BR"/>
        </w:rPr>
        <w:t>/0</w:t>
      </w:r>
      <w:r w:rsidR="00332CD0">
        <w:rPr>
          <w:lang w:val="pt-BR"/>
        </w:rPr>
        <w:t>9</w:t>
      </w:r>
      <w:r w:rsidR="00AF31C9">
        <w:rPr>
          <w:lang w:val="pt-BR"/>
        </w:rPr>
        <w:t>/2012</w:t>
      </w:r>
      <w:proofErr w:type="gramStart"/>
      <w:r w:rsidR="00332CD0">
        <w:rPr>
          <w:lang w:val="pt-BR"/>
        </w:rPr>
        <w:t xml:space="preserve"> ou antes</w:t>
      </w:r>
      <w:proofErr w:type="gramEnd"/>
      <w:r w:rsidR="00AF31C9">
        <w:rPr>
          <w:lang w:val="pt-BR"/>
        </w:rPr>
        <w:t>)</w:t>
      </w:r>
    </w:p>
    <w:p w:rsidR="00FC70EF" w:rsidRDefault="00FC70EF" w:rsidP="00C403DB">
      <w:pPr>
        <w:pStyle w:val="PargrafodaLista"/>
        <w:numPr>
          <w:ilvl w:val="0"/>
          <w:numId w:val="2"/>
        </w:numPr>
        <w:spacing w:before="0" w:after="0"/>
        <w:rPr>
          <w:lang w:val="pt-BR"/>
        </w:rPr>
      </w:pPr>
      <w:r>
        <w:rPr>
          <w:lang w:val="pt-BR"/>
        </w:rPr>
        <w:t xml:space="preserve">Faça uma </w:t>
      </w:r>
      <w:r w:rsidR="00332CD0">
        <w:rPr>
          <w:lang w:val="pt-BR"/>
        </w:rPr>
        <w:t xml:space="preserve">breve </w:t>
      </w:r>
      <w:r>
        <w:rPr>
          <w:lang w:val="pt-BR"/>
        </w:rPr>
        <w:t xml:space="preserve">descrição do </w:t>
      </w:r>
      <w:r w:rsidR="0042091F">
        <w:rPr>
          <w:lang w:val="pt-BR"/>
        </w:rPr>
        <w:t>P</w:t>
      </w:r>
      <w:r>
        <w:rPr>
          <w:lang w:val="pt-BR"/>
        </w:rPr>
        <w:t xml:space="preserve">rocedimento </w:t>
      </w:r>
      <w:r w:rsidR="0042091F">
        <w:rPr>
          <w:lang w:val="pt-BR"/>
        </w:rPr>
        <w:t>E</w:t>
      </w:r>
      <w:r>
        <w:rPr>
          <w:lang w:val="pt-BR"/>
        </w:rPr>
        <w:t xml:space="preserve">xperimental, desde o procedimento para o preparo dos corpos de prova, </w:t>
      </w:r>
      <w:r w:rsidR="0042091F">
        <w:rPr>
          <w:lang w:val="pt-BR"/>
        </w:rPr>
        <w:t xml:space="preserve">prensagem, </w:t>
      </w:r>
      <w:r>
        <w:rPr>
          <w:lang w:val="pt-BR"/>
        </w:rPr>
        <w:t xml:space="preserve">procedimento de queima, </w:t>
      </w:r>
      <w:r w:rsidR="00332CD0">
        <w:rPr>
          <w:lang w:val="pt-BR"/>
        </w:rPr>
        <w:t>até o ensaio mecânico realizado (sugestão: use o formato de um fluxograma).</w:t>
      </w:r>
    </w:p>
    <w:p w:rsidR="00332CD0" w:rsidRPr="00332CD0" w:rsidRDefault="00332CD0" w:rsidP="00332CD0">
      <w:pPr>
        <w:pStyle w:val="PargrafodaLista"/>
        <w:numPr>
          <w:ilvl w:val="0"/>
          <w:numId w:val="2"/>
        </w:numPr>
        <w:spacing w:before="0" w:after="0"/>
        <w:rPr>
          <w:lang w:val="pt-BR"/>
        </w:rPr>
      </w:pPr>
      <w:r>
        <w:rPr>
          <w:lang w:val="pt-BR"/>
        </w:rPr>
        <w:t>Utilizando os dados de todos os grupos da disciplina (estarão disponíveis no site), a</w:t>
      </w:r>
      <w:r w:rsidR="00FC70EF">
        <w:rPr>
          <w:lang w:val="pt-BR"/>
        </w:rPr>
        <w:t>presente os dados relativos às dimensões dos corpos de prova, cargas na fratura e tensões</w:t>
      </w:r>
      <w:r>
        <w:rPr>
          <w:lang w:val="pt-BR"/>
        </w:rPr>
        <w:t xml:space="preserve"> calculadas na forma de tabela.</w:t>
      </w:r>
    </w:p>
    <w:p w:rsidR="00C403DB" w:rsidRDefault="00C403DB" w:rsidP="00C403DB">
      <w:pPr>
        <w:spacing w:before="0" w:after="0"/>
        <w:rPr>
          <w:lang w:val="pt-BR"/>
        </w:rPr>
      </w:pPr>
    </w:p>
    <w:tbl>
      <w:tblPr>
        <w:tblStyle w:val="Tabelacomgrade"/>
        <w:tblW w:w="5000" w:type="pct"/>
        <w:tblLook w:val="04A0"/>
      </w:tblPr>
      <w:tblGrid>
        <w:gridCol w:w="1658"/>
        <w:gridCol w:w="1679"/>
        <w:gridCol w:w="1773"/>
        <w:gridCol w:w="1247"/>
        <w:gridCol w:w="1337"/>
        <w:gridCol w:w="1247"/>
        <w:gridCol w:w="1247"/>
      </w:tblGrid>
      <w:tr w:rsidR="00541947" w:rsidTr="00541947">
        <w:tc>
          <w:tcPr>
            <w:tcW w:w="81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Identificação do corpo de prova</w:t>
            </w:r>
          </w:p>
        </w:tc>
        <w:tc>
          <w:tcPr>
            <w:tcW w:w="82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Temperatura de sinterização</w:t>
            </w:r>
          </w:p>
        </w:tc>
        <w:tc>
          <w:tcPr>
            <w:tcW w:w="870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Comprimento (L)</w:t>
            </w: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Largura (b)</w:t>
            </w:r>
          </w:p>
        </w:tc>
        <w:tc>
          <w:tcPr>
            <w:tcW w:w="656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Espessura (d)</w:t>
            </w: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Carga de ruptura (</w:t>
            </w:r>
            <w:proofErr w:type="spellStart"/>
            <w:proofErr w:type="gramStart"/>
            <w:r w:rsidRPr="00AF31C9">
              <w:rPr>
                <w:rFonts w:cstheme="minorHAnsi"/>
                <w:sz w:val="20"/>
                <w:szCs w:val="20"/>
                <w:lang w:val="pt-BR"/>
              </w:rPr>
              <w:t>F</w:t>
            </w:r>
            <w:r w:rsidRPr="00AF31C9">
              <w:rPr>
                <w:rFonts w:cstheme="minorHAnsi"/>
                <w:sz w:val="20"/>
                <w:szCs w:val="20"/>
                <w:vertAlign w:val="subscript"/>
                <w:lang w:val="pt-BR"/>
              </w:rPr>
              <w:t>Max</w:t>
            </w:r>
            <w:proofErr w:type="spellEnd"/>
            <w:proofErr w:type="gramEnd"/>
            <w:r w:rsidRPr="00AF31C9">
              <w:rPr>
                <w:rFonts w:cstheme="minorHAnsi"/>
                <w:sz w:val="20"/>
                <w:szCs w:val="20"/>
                <w:lang w:val="pt-BR"/>
              </w:rPr>
              <w:t>)</w:t>
            </w: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Tensão de ruptura (</w:t>
            </w:r>
            <w:r w:rsidRPr="00AF31C9">
              <w:rPr>
                <w:rFonts w:cstheme="minorHAnsi"/>
                <w:sz w:val="20"/>
                <w:szCs w:val="20"/>
                <w:lang w:val="pt-BR"/>
              </w:rPr>
              <w:sym w:font="Symbol" w:char="F073"/>
            </w:r>
            <w:r w:rsidRPr="00AF31C9">
              <w:rPr>
                <w:rFonts w:cstheme="minorHAnsi"/>
                <w:sz w:val="20"/>
                <w:szCs w:val="20"/>
                <w:vertAlign w:val="subscript"/>
                <w:lang w:val="pt-BR"/>
              </w:rPr>
              <w:t>Max</w:t>
            </w:r>
            <w:r w:rsidRPr="00AF31C9">
              <w:rPr>
                <w:rFonts w:cstheme="minorHAnsi"/>
                <w:sz w:val="20"/>
                <w:szCs w:val="20"/>
                <w:lang w:val="pt-BR"/>
              </w:rPr>
              <w:t>)</w:t>
            </w:r>
          </w:p>
        </w:tc>
      </w:tr>
      <w:tr w:rsidR="00541947" w:rsidTr="00541947">
        <w:tc>
          <w:tcPr>
            <w:tcW w:w="814" w:type="pct"/>
            <w:vAlign w:val="center"/>
          </w:tcPr>
          <w:p w:rsidR="00541947" w:rsidRPr="00AF31C9" w:rsidRDefault="006236A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>
              <w:rPr>
                <w:rFonts w:cstheme="minorHAnsi"/>
                <w:sz w:val="20"/>
                <w:szCs w:val="20"/>
                <w:lang w:val="pt-BR"/>
              </w:rPr>
              <w:t>-</w:t>
            </w:r>
          </w:p>
        </w:tc>
        <w:tc>
          <w:tcPr>
            <w:tcW w:w="824" w:type="pct"/>
          </w:tcPr>
          <w:p w:rsidR="00541947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Unidade:</w:t>
            </w:r>
          </w:p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>
              <w:rPr>
                <w:rFonts w:cstheme="minorHAnsi"/>
                <w:sz w:val="20"/>
                <w:szCs w:val="20"/>
                <w:lang w:val="pt-BR"/>
              </w:rPr>
              <w:sym w:font="Symbol" w:char="F020"/>
            </w:r>
            <w:r>
              <w:rPr>
                <w:rFonts w:cstheme="minorHAnsi"/>
                <w:sz w:val="20"/>
                <w:szCs w:val="20"/>
                <w:lang w:val="pt-BR"/>
              </w:rPr>
              <w:sym w:font="Symbol" w:char="F0B0"/>
            </w:r>
            <w:r w:rsidRPr="00AF31C9">
              <w:rPr>
                <w:rFonts w:cstheme="minorHAnsi"/>
                <w:sz w:val="20"/>
                <w:szCs w:val="20"/>
                <w:lang w:val="pt-BR"/>
              </w:rPr>
              <w:t>C</w:t>
            </w:r>
          </w:p>
        </w:tc>
        <w:tc>
          <w:tcPr>
            <w:tcW w:w="870" w:type="pct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Unidade:</w:t>
            </w:r>
          </w:p>
        </w:tc>
        <w:tc>
          <w:tcPr>
            <w:tcW w:w="612" w:type="pct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Unidade:</w:t>
            </w:r>
          </w:p>
        </w:tc>
        <w:tc>
          <w:tcPr>
            <w:tcW w:w="656" w:type="pct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Unidade:</w:t>
            </w:r>
          </w:p>
        </w:tc>
        <w:tc>
          <w:tcPr>
            <w:tcW w:w="612" w:type="pct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Unidade:</w:t>
            </w:r>
          </w:p>
        </w:tc>
        <w:tc>
          <w:tcPr>
            <w:tcW w:w="612" w:type="pct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Unidade:</w:t>
            </w:r>
          </w:p>
        </w:tc>
      </w:tr>
      <w:tr w:rsidR="00541947" w:rsidTr="00541947">
        <w:tc>
          <w:tcPr>
            <w:tcW w:w="81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82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800</w:t>
            </w:r>
          </w:p>
        </w:tc>
        <w:tc>
          <w:tcPr>
            <w:tcW w:w="870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56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  <w:tr w:rsidR="00541947" w:rsidTr="00541947">
        <w:tc>
          <w:tcPr>
            <w:tcW w:w="81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82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800</w:t>
            </w:r>
          </w:p>
        </w:tc>
        <w:tc>
          <w:tcPr>
            <w:tcW w:w="870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56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  <w:tr w:rsidR="00541947" w:rsidTr="00541947">
        <w:tc>
          <w:tcPr>
            <w:tcW w:w="81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82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900</w:t>
            </w:r>
          </w:p>
        </w:tc>
        <w:tc>
          <w:tcPr>
            <w:tcW w:w="870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56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  <w:tr w:rsidR="00541947" w:rsidTr="00541947">
        <w:tc>
          <w:tcPr>
            <w:tcW w:w="81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82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900</w:t>
            </w:r>
          </w:p>
        </w:tc>
        <w:tc>
          <w:tcPr>
            <w:tcW w:w="870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56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  <w:tr w:rsidR="00541947" w:rsidTr="00541947">
        <w:tc>
          <w:tcPr>
            <w:tcW w:w="81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82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1000</w:t>
            </w:r>
          </w:p>
        </w:tc>
        <w:tc>
          <w:tcPr>
            <w:tcW w:w="870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56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  <w:tr w:rsidR="00541947" w:rsidTr="00541947">
        <w:tc>
          <w:tcPr>
            <w:tcW w:w="81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824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  <w:r w:rsidRPr="00AF31C9">
              <w:rPr>
                <w:rFonts w:cstheme="minorHAnsi"/>
                <w:sz w:val="20"/>
                <w:szCs w:val="20"/>
                <w:lang w:val="pt-BR"/>
              </w:rPr>
              <w:t>1000</w:t>
            </w:r>
          </w:p>
        </w:tc>
        <w:tc>
          <w:tcPr>
            <w:tcW w:w="870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56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  <w:tc>
          <w:tcPr>
            <w:tcW w:w="612" w:type="pct"/>
            <w:vAlign w:val="center"/>
          </w:tcPr>
          <w:p w:rsidR="00541947" w:rsidRPr="00AF31C9" w:rsidRDefault="00541947" w:rsidP="00AF31C9">
            <w:pPr>
              <w:spacing w:after="0"/>
              <w:ind w:firstLine="0"/>
              <w:jc w:val="center"/>
              <w:rPr>
                <w:rFonts w:cstheme="minorHAnsi"/>
                <w:sz w:val="20"/>
                <w:szCs w:val="20"/>
                <w:lang w:val="pt-BR"/>
              </w:rPr>
            </w:pPr>
          </w:p>
        </w:tc>
      </w:tr>
    </w:tbl>
    <w:p w:rsidR="00C403DB" w:rsidRDefault="00C403DB" w:rsidP="00C403DB">
      <w:pPr>
        <w:spacing w:before="0" w:after="0"/>
        <w:rPr>
          <w:lang w:val="pt-BR"/>
        </w:rPr>
      </w:pPr>
    </w:p>
    <w:p w:rsidR="00C403DB" w:rsidRPr="00C403DB" w:rsidRDefault="00C403DB" w:rsidP="00332CD0">
      <w:pPr>
        <w:pStyle w:val="PargrafodaLista"/>
        <w:numPr>
          <w:ilvl w:val="0"/>
          <w:numId w:val="2"/>
        </w:numPr>
        <w:spacing w:before="0" w:after="0"/>
        <w:rPr>
          <w:lang w:val="pt-BR"/>
        </w:rPr>
      </w:pPr>
      <w:r w:rsidRPr="00C403DB">
        <w:rPr>
          <w:lang w:val="pt-BR"/>
        </w:rPr>
        <w:t xml:space="preserve">Faça um gráfico da tensão de fratura média versus temperatura de queima, </w:t>
      </w:r>
      <w:r>
        <w:rPr>
          <w:lang w:val="pt-BR"/>
        </w:rPr>
        <w:t>incluindo os desvios-padrão para cada temperatura. Observação: para inserir a fórmula de média no MS-Excel “=</w:t>
      </w:r>
      <w:proofErr w:type="gramStart"/>
      <w:r>
        <w:rPr>
          <w:lang w:val="pt-BR"/>
        </w:rPr>
        <w:t>media(</w:t>
      </w:r>
      <w:proofErr w:type="gramEnd"/>
      <w:r w:rsidR="00175D70">
        <w:rPr>
          <w:lang w:val="pt-BR"/>
        </w:rPr>
        <w:t>A1:A10)” (exemplo) e para inserir a fórmula do desvio-padrão “=</w:t>
      </w:r>
      <w:proofErr w:type="spellStart"/>
      <w:r w:rsidR="00175D70">
        <w:rPr>
          <w:lang w:val="pt-BR"/>
        </w:rPr>
        <w:t>desvpad</w:t>
      </w:r>
      <w:proofErr w:type="spellEnd"/>
      <w:r w:rsidR="00175D70">
        <w:rPr>
          <w:lang w:val="pt-BR"/>
        </w:rPr>
        <w:t>(A1:A10)”.</w:t>
      </w:r>
    </w:p>
    <w:p w:rsidR="00C403DB" w:rsidRDefault="00C403DB" w:rsidP="00C403DB">
      <w:pPr>
        <w:spacing w:before="0" w:after="0"/>
        <w:rPr>
          <w:lang w:val="pt-BR"/>
        </w:rPr>
      </w:pPr>
    </w:p>
    <w:p w:rsidR="00332CD0" w:rsidRDefault="00332CD0" w:rsidP="00C403DB">
      <w:pPr>
        <w:spacing w:before="0" w:after="0"/>
        <w:rPr>
          <w:lang w:val="pt-BR"/>
        </w:rPr>
      </w:pPr>
      <w:r>
        <w:rPr>
          <w:lang w:val="pt-BR"/>
        </w:rPr>
        <w:t xml:space="preserve">Observações: 1) Relatório em grupos de no máximo </w:t>
      </w:r>
      <w:proofErr w:type="gramStart"/>
      <w:r>
        <w:rPr>
          <w:lang w:val="pt-BR"/>
        </w:rPr>
        <w:t>5</w:t>
      </w:r>
      <w:proofErr w:type="gramEnd"/>
      <w:r>
        <w:rPr>
          <w:lang w:val="pt-BR"/>
        </w:rPr>
        <w:t xml:space="preserve"> alunos; 2) Digitado e impresso (arquivos </w:t>
      </w:r>
      <w:proofErr w:type="spellStart"/>
      <w:r>
        <w:rPr>
          <w:lang w:val="pt-BR"/>
        </w:rPr>
        <w:t>pdf’s</w:t>
      </w:r>
      <w:proofErr w:type="spellEnd"/>
      <w:r>
        <w:rPr>
          <w:lang w:val="pt-BR"/>
        </w:rPr>
        <w:t xml:space="preserve"> não serão aceitos).</w:t>
      </w:r>
    </w:p>
    <w:p w:rsidR="00332CD0" w:rsidRDefault="00332CD0" w:rsidP="00C403DB">
      <w:pPr>
        <w:spacing w:before="0" w:after="0"/>
        <w:rPr>
          <w:lang w:val="pt-BR"/>
        </w:rPr>
      </w:pPr>
    </w:p>
    <w:p w:rsidR="00FC70EF" w:rsidRDefault="00A022AE" w:rsidP="00C403DB">
      <w:pPr>
        <w:pStyle w:val="Ttulo1"/>
        <w:spacing w:before="0" w:after="0" w:line="240" w:lineRule="auto"/>
        <w:rPr>
          <w:lang w:val="pt-BR"/>
        </w:rPr>
      </w:pPr>
      <w:r>
        <w:rPr>
          <w:lang w:val="pt-BR"/>
        </w:rPr>
        <w:t>B</w:t>
      </w:r>
      <w:r w:rsidR="00A86826">
        <w:rPr>
          <w:lang w:val="pt-BR"/>
        </w:rPr>
        <w:t>ibliogr</w:t>
      </w:r>
      <w:r>
        <w:rPr>
          <w:lang w:val="pt-BR"/>
        </w:rPr>
        <w:t>afia</w:t>
      </w:r>
    </w:p>
    <w:p w:rsidR="00A022AE" w:rsidRPr="00A022AE" w:rsidRDefault="00A022AE" w:rsidP="00C403DB">
      <w:pPr>
        <w:pStyle w:val="PargrafodaLista"/>
        <w:numPr>
          <w:ilvl w:val="0"/>
          <w:numId w:val="3"/>
        </w:numPr>
        <w:spacing w:before="0" w:after="0"/>
        <w:rPr>
          <w:lang w:val="pt-BR"/>
        </w:rPr>
      </w:pPr>
      <w:bookmarkStart w:id="1" w:name="_Ref333014537"/>
      <w:r w:rsidRPr="00D8681E">
        <w:t xml:space="preserve">J.B. </w:t>
      </w:r>
      <w:proofErr w:type="spellStart"/>
      <w:r w:rsidRPr="00D8681E">
        <w:t>Wachtman</w:t>
      </w:r>
      <w:proofErr w:type="spellEnd"/>
      <w:r w:rsidRPr="00D8681E">
        <w:t>, W. Roger Cannon,</w:t>
      </w:r>
      <w:r>
        <w:t xml:space="preserve"> M. John </w:t>
      </w:r>
      <w:proofErr w:type="spellStart"/>
      <w:r>
        <w:t>Matthewson</w:t>
      </w:r>
      <w:proofErr w:type="spellEnd"/>
      <w:r>
        <w:t xml:space="preserve">, Mechanical Properties of Ceramics, 2a. </w:t>
      </w:r>
      <w:proofErr w:type="spellStart"/>
      <w:r>
        <w:t>Edição</w:t>
      </w:r>
      <w:proofErr w:type="spellEnd"/>
      <w:r>
        <w:t>, Wiley, 2009, p. 95-101.</w:t>
      </w:r>
      <w:bookmarkEnd w:id="1"/>
    </w:p>
    <w:p w:rsidR="00A022AE" w:rsidRDefault="00A022AE" w:rsidP="00C403DB">
      <w:pPr>
        <w:pStyle w:val="PargrafodaLista"/>
        <w:numPr>
          <w:ilvl w:val="0"/>
          <w:numId w:val="3"/>
        </w:numPr>
        <w:spacing w:before="0" w:after="0"/>
        <w:rPr>
          <w:lang w:val="pt-BR"/>
        </w:rPr>
      </w:pPr>
      <w:r w:rsidRPr="00A022AE">
        <w:rPr>
          <w:lang w:val="pt-BR"/>
        </w:rPr>
        <w:t xml:space="preserve">T. </w:t>
      </w:r>
      <w:proofErr w:type="spellStart"/>
      <w:r w:rsidRPr="00A022AE">
        <w:rPr>
          <w:lang w:val="pt-BR"/>
        </w:rPr>
        <w:t>Rouxel</w:t>
      </w:r>
      <w:proofErr w:type="spellEnd"/>
      <w:r w:rsidRPr="00A022AE">
        <w:rPr>
          <w:lang w:val="pt-BR"/>
        </w:rPr>
        <w:t xml:space="preserve">, </w:t>
      </w:r>
      <w:proofErr w:type="spellStart"/>
      <w:r w:rsidRPr="00A022AE">
        <w:rPr>
          <w:lang w:val="pt-BR"/>
        </w:rPr>
        <w:t>Mechanical</w:t>
      </w:r>
      <w:proofErr w:type="spellEnd"/>
      <w:r w:rsidRPr="00A022AE">
        <w:rPr>
          <w:lang w:val="pt-BR"/>
        </w:rPr>
        <w:t xml:space="preserve"> </w:t>
      </w:r>
      <w:proofErr w:type="spellStart"/>
      <w:r w:rsidRPr="00A022AE">
        <w:rPr>
          <w:lang w:val="pt-BR"/>
        </w:rPr>
        <w:t>Properties</w:t>
      </w:r>
      <w:proofErr w:type="spellEnd"/>
      <w:r w:rsidRPr="00A022AE">
        <w:rPr>
          <w:lang w:val="pt-BR"/>
        </w:rPr>
        <w:t xml:space="preserve"> </w:t>
      </w:r>
      <w:proofErr w:type="spellStart"/>
      <w:r w:rsidRPr="00A022AE">
        <w:rPr>
          <w:lang w:val="pt-BR"/>
        </w:rPr>
        <w:t>of</w:t>
      </w:r>
      <w:proofErr w:type="spellEnd"/>
      <w:r w:rsidRPr="00A022AE">
        <w:rPr>
          <w:lang w:val="pt-BR"/>
        </w:rPr>
        <w:t xml:space="preserve"> </w:t>
      </w:r>
      <w:proofErr w:type="spellStart"/>
      <w:r w:rsidRPr="00A022AE">
        <w:rPr>
          <w:lang w:val="pt-BR"/>
        </w:rPr>
        <w:t>Ceramics</w:t>
      </w:r>
      <w:proofErr w:type="spellEnd"/>
      <w:r w:rsidRPr="00A022AE">
        <w:rPr>
          <w:lang w:val="pt-BR"/>
        </w:rPr>
        <w:t xml:space="preserve">, In: </w:t>
      </w:r>
      <w:proofErr w:type="spellStart"/>
      <w:r w:rsidRPr="00A022AE">
        <w:rPr>
          <w:lang w:val="pt-BR"/>
        </w:rPr>
        <w:t>Ceramic</w:t>
      </w:r>
      <w:proofErr w:type="spellEnd"/>
      <w:r w:rsidRPr="00A022AE">
        <w:rPr>
          <w:lang w:val="pt-BR"/>
        </w:rPr>
        <w:t xml:space="preserve"> </w:t>
      </w:r>
      <w:proofErr w:type="spellStart"/>
      <w:r w:rsidRPr="00A022AE">
        <w:rPr>
          <w:lang w:val="pt-BR"/>
        </w:rPr>
        <w:t>Materials</w:t>
      </w:r>
      <w:proofErr w:type="spellEnd"/>
      <w:r w:rsidRPr="00A022AE">
        <w:rPr>
          <w:lang w:val="pt-BR"/>
        </w:rPr>
        <w:t xml:space="preserve"> Processes, </w:t>
      </w:r>
      <w:proofErr w:type="spellStart"/>
      <w:r w:rsidRPr="00A022AE">
        <w:rPr>
          <w:lang w:val="pt-BR"/>
        </w:rPr>
        <w:t>Properties</w:t>
      </w:r>
      <w:proofErr w:type="spellEnd"/>
      <w:r w:rsidRPr="00A022AE">
        <w:rPr>
          <w:lang w:val="pt-BR"/>
        </w:rPr>
        <w:t xml:space="preserve"> </w:t>
      </w:r>
      <w:proofErr w:type="spellStart"/>
      <w:r w:rsidRPr="00A022AE">
        <w:rPr>
          <w:lang w:val="pt-BR"/>
        </w:rPr>
        <w:t>and</w:t>
      </w:r>
      <w:proofErr w:type="spellEnd"/>
      <w:r w:rsidRPr="00A022AE">
        <w:rPr>
          <w:lang w:val="pt-BR"/>
        </w:rPr>
        <w:t xml:space="preserve"> Applications, editado por P. </w:t>
      </w:r>
      <w:proofErr w:type="spellStart"/>
      <w:r w:rsidRPr="00A022AE">
        <w:rPr>
          <w:lang w:val="pt-BR"/>
        </w:rPr>
        <w:t>Boch</w:t>
      </w:r>
      <w:proofErr w:type="spellEnd"/>
      <w:r w:rsidRPr="00A022AE">
        <w:rPr>
          <w:lang w:val="pt-BR"/>
        </w:rPr>
        <w:t xml:space="preserve"> e </w:t>
      </w:r>
      <w:proofErr w:type="spellStart"/>
      <w:r w:rsidRPr="00A022AE">
        <w:rPr>
          <w:lang w:val="pt-BR"/>
        </w:rPr>
        <w:t>J.C.</w:t>
      </w:r>
      <w:proofErr w:type="spellEnd"/>
      <w:r w:rsidRPr="00A022AE">
        <w:rPr>
          <w:lang w:val="pt-BR"/>
        </w:rPr>
        <w:t xml:space="preserve"> </w:t>
      </w:r>
      <w:proofErr w:type="spellStart"/>
      <w:r w:rsidRPr="00A022AE">
        <w:rPr>
          <w:lang w:val="pt-BR"/>
        </w:rPr>
        <w:t>Nilpce</w:t>
      </w:r>
      <w:proofErr w:type="spellEnd"/>
      <w:r w:rsidRPr="00A022AE">
        <w:rPr>
          <w:lang w:val="pt-BR"/>
        </w:rPr>
        <w:t>, editora ISTE, Londres, 2007, cap</w:t>
      </w:r>
      <w:r>
        <w:rPr>
          <w:lang w:val="pt-BR"/>
        </w:rPr>
        <w:t>ítulo 8, p. 275-278.</w:t>
      </w:r>
    </w:p>
    <w:p w:rsidR="00A022AE" w:rsidRDefault="00305FC0" w:rsidP="00C403DB">
      <w:pPr>
        <w:pStyle w:val="PargrafodaLista"/>
        <w:numPr>
          <w:ilvl w:val="0"/>
          <w:numId w:val="3"/>
        </w:numPr>
        <w:spacing w:before="0" w:after="0"/>
      </w:pPr>
      <w:r w:rsidRPr="00305FC0">
        <w:t xml:space="preserve">C. Barry Carter, M. Grant Norton, </w:t>
      </w:r>
      <w:r>
        <w:t>Ceramic Materials Science and Engineering, Springer, 2007, p. 297-306.</w:t>
      </w:r>
    </w:p>
    <w:p w:rsidR="00B44BE9" w:rsidRDefault="00F9631A" w:rsidP="00C403DB">
      <w:pPr>
        <w:pStyle w:val="PargrafodaLista"/>
        <w:numPr>
          <w:ilvl w:val="0"/>
          <w:numId w:val="3"/>
        </w:numPr>
        <w:spacing w:before="0" w:after="0"/>
      </w:pPr>
      <w:r>
        <w:t xml:space="preserve">C.D. Sorensen, Measuring the </w:t>
      </w:r>
      <w:proofErr w:type="spellStart"/>
      <w:r>
        <w:t>Weibull</w:t>
      </w:r>
      <w:proofErr w:type="spellEnd"/>
      <w:r>
        <w:t xml:space="preserve"> Modulus of Microscope Slides, NASA. Langley Research Center, National Educators' Workshop: Update 1991. Standard Experiments in Engineering Materials Science and Technology; p 397-406, </w:t>
      </w:r>
      <w:proofErr w:type="spellStart"/>
      <w:r>
        <w:t>obtido</w:t>
      </w:r>
      <w:proofErr w:type="spellEnd"/>
      <w:r>
        <w:t xml:space="preserve"> no site: </w:t>
      </w:r>
      <w:hyperlink r:id="rId12" w:history="1">
        <w:r w:rsidRPr="00E54A6D">
          <w:rPr>
            <w:rStyle w:val="Hyperlink"/>
          </w:rPr>
          <w:t>http://ntrs.nasa.gov/search.jsp?R=19920021051</w:t>
        </w:r>
      </w:hyperlink>
    </w:p>
    <w:p w:rsidR="00F9631A" w:rsidRDefault="00F9631A" w:rsidP="00C403DB">
      <w:pPr>
        <w:pStyle w:val="PargrafodaLista"/>
        <w:numPr>
          <w:ilvl w:val="0"/>
          <w:numId w:val="3"/>
        </w:numPr>
        <w:spacing w:before="0" w:after="0"/>
        <w:rPr>
          <w:lang w:val="pt-BR"/>
        </w:rPr>
      </w:pPr>
      <w:proofErr w:type="spellStart"/>
      <w:r w:rsidRPr="00F9631A">
        <w:rPr>
          <w:lang w:val="pt-BR"/>
        </w:rPr>
        <w:t>A.R.</w:t>
      </w:r>
      <w:proofErr w:type="spellEnd"/>
      <w:r w:rsidRPr="00F9631A">
        <w:rPr>
          <w:lang w:val="pt-BR"/>
        </w:rPr>
        <w:t xml:space="preserve"> </w:t>
      </w:r>
      <w:proofErr w:type="spellStart"/>
      <w:r w:rsidRPr="00F9631A">
        <w:rPr>
          <w:lang w:val="pt-BR"/>
        </w:rPr>
        <w:t>Migliore</w:t>
      </w:r>
      <w:proofErr w:type="spellEnd"/>
      <w:r w:rsidRPr="00F9631A">
        <w:rPr>
          <w:lang w:val="pt-BR"/>
        </w:rPr>
        <w:t xml:space="preserve"> Jr., E. D. Zanotto, Sobre a determinaç</w:t>
      </w:r>
      <w:r>
        <w:rPr>
          <w:lang w:val="pt-BR"/>
        </w:rPr>
        <w:t xml:space="preserve">ão dos parâmetros de </w:t>
      </w:r>
      <w:proofErr w:type="spellStart"/>
      <w:r>
        <w:rPr>
          <w:lang w:val="pt-BR"/>
        </w:rPr>
        <w:t>Weibull</w:t>
      </w:r>
      <w:proofErr w:type="spellEnd"/>
      <w:r>
        <w:rPr>
          <w:lang w:val="pt-BR"/>
        </w:rPr>
        <w:t>, Cerâmica, 38 (1992) 7-11.</w:t>
      </w:r>
    </w:p>
    <w:p w:rsidR="00F9631A" w:rsidRDefault="00F9631A" w:rsidP="00C403DB">
      <w:pPr>
        <w:pStyle w:val="PargrafodaLista"/>
        <w:numPr>
          <w:ilvl w:val="0"/>
          <w:numId w:val="3"/>
        </w:numPr>
        <w:spacing w:before="0" w:after="0"/>
      </w:pPr>
      <w:r w:rsidRPr="00F9631A">
        <w:t>ASTM 674-88 (</w:t>
      </w:r>
      <w:proofErr w:type="spellStart"/>
      <w:r w:rsidRPr="00F9631A">
        <w:t>Reaprovada</w:t>
      </w:r>
      <w:proofErr w:type="spellEnd"/>
      <w:r w:rsidRPr="00F9631A">
        <w:t xml:space="preserve"> </w:t>
      </w:r>
      <w:proofErr w:type="spellStart"/>
      <w:r w:rsidRPr="00F9631A">
        <w:t>em</w:t>
      </w:r>
      <w:proofErr w:type="spellEnd"/>
      <w:r w:rsidRPr="00F9631A">
        <w:t xml:space="preserve"> 2006), Standard Test Methods for Flexural properties of Ceramic </w:t>
      </w:r>
      <w:proofErr w:type="spellStart"/>
      <w:r w:rsidRPr="00F9631A">
        <w:t>Whitware</w:t>
      </w:r>
      <w:proofErr w:type="spellEnd"/>
      <w:r w:rsidRPr="00F9631A">
        <w:t xml:space="preserve"> </w:t>
      </w:r>
      <w:r>
        <w:t>M</w:t>
      </w:r>
      <w:r w:rsidRPr="00F9631A">
        <w:t>aterials</w:t>
      </w:r>
      <w:r>
        <w:t xml:space="preserve">,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páginas</w:t>
      </w:r>
      <w:proofErr w:type="spellEnd"/>
      <w:r>
        <w:t>: 4</w:t>
      </w:r>
      <w:r w:rsidRPr="00F9631A">
        <w:t>.</w:t>
      </w:r>
    </w:p>
    <w:p w:rsidR="00F9631A" w:rsidRPr="00F9631A" w:rsidRDefault="00F9631A" w:rsidP="00C403DB">
      <w:pPr>
        <w:pStyle w:val="PargrafodaLista"/>
        <w:numPr>
          <w:ilvl w:val="0"/>
          <w:numId w:val="3"/>
        </w:numPr>
        <w:spacing w:before="0" w:after="0"/>
      </w:pPr>
      <w:r>
        <w:t xml:space="preserve">ASTM C1239-07, Standard Practice for Reporting </w:t>
      </w:r>
      <w:proofErr w:type="spellStart"/>
      <w:r>
        <w:t>Uniaxial</w:t>
      </w:r>
      <w:proofErr w:type="spellEnd"/>
      <w:r>
        <w:t xml:space="preserve"> Strength Data and Estimating </w:t>
      </w:r>
      <w:proofErr w:type="spellStart"/>
      <w:r>
        <w:t>Weibull</w:t>
      </w:r>
      <w:proofErr w:type="spellEnd"/>
      <w:r>
        <w:t xml:space="preserve"> Distribution parameters for Advanced Ceramics, </w:t>
      </w:r>
      <w:proofErr w:type="spellStart"/>
      <w:r>
        <w:t>número</w:t>
      </w:r>
      <w:proofErr w:type="spellEnd"/>
      <w:r>
        <w:t xml:space="preserve"> de </w:t>
      </w:r>
      <w:proofErr w:type="spellStart"/>
      <w:r>
        <w:t>páginas</w:t>
      </w:r>
      <w:proofErr w:type="spellEnd"/>
      <w:r>
        <w:t>: 19.</w:t>
      </w:r>
    </w:p>
    <w:sectPr w:rsidR="00F9631A" w:rsidRPr="00F9631A" w:rsidSect="00C403DB">
      <w:endnotePr>
        <w:numFmt w:val="decimal"/>
      </w:endnotePr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049" w:rsidRDefault="00887049" w:rsidP="00D8681E">
      <w:pPr>
        <w:spacing w:before="0" w:after="0"/>
      </w:pPr>
      <w:r>
        <w:separator/>
      </w:r>
    </w:p>
  </w:endnote>
  <w:endnote w:type="continuationSeparator" w:id="0">
    <w:p w:rsidR="00887049" w:rsidRDefault="00887049" w:rsidP="00D8681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049" w:rsidRDefault="00887049" w:rsidP="00D8681E">
      <w:pPr>
        <w:spacing w:before="0" w:after="0"/>
      </w:pPr>
      <w:r>
        <w:separator/>
      </w:r>
    </w:p>
  </w:footnote>
  <w:footnote w:type="continuationSeparator" w:id="0">
    <w:p w:rsidR="00887049" w:rsidRDefault="00887049" w:rsidP="00D8681E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B1AF9"/>
    <w:multiLevelType w:val="hybridMultilevel"/>
    <w:tmpl w:val="98B4D06A"/>
    <w:lvl w:ilvl="0" w:tplc="25989D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87D3476"/>
    <w:multiLevelType w:val="hybridMultilevel"/>
    <w:tmpl w:val="F1C0E192"/>
    <w:lvl w:ilvl="0" w:tplc="75AE1F9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299703E"/>
    <w:multiLevelType w:val="hybridMultilevel"/>
    <w:tmpl w:val="F3860F7A"/>
    <w:lvl w:ilvl="0" w:tplc="B76C4F6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B4C3FED"/>
    <w:multiLevelType w:val="hybridMultilevel"/>
    <w:tmpl w:val="F7285756"/>
    <w:lvl w:ilvl="0" w:tplc="AAF0463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168D7"/>
    <w:rsid w:val="00044ECE"/>
    <w:rsid w:val="000464F4"/>
    <w:rsid w:val="00061FF0"/>
    <w:rsid w:val="00066C22"/>
    <w:rsid w:val="000737CF"/>
    <w:rsid w:val="00094F83"/>
    <w:rsid w:val="000A22B4"/>
    <w:rsid w:val="000B29FA"/>
    <w:rsid w:val="000C06A2"/>
    <w:rsid w:val="000C1EAC"/>
    <w:rsid w:val="00101492"/>
    <w:rsid w:val="0012736B"/>
    <w:rsid w:val="00175D70"/>
    <w:rsid w:val="00182302"/>
    <w:rsid w:val="00183F91"/>
    <w:rsid w:val="00184E67"/>
    <w:rsid w:val="00186520"/>
    <w:rsid w:val="001C2A43"/>
    <w:rsid w:val="001E3B15"/>
    <w:rsid w:val="00204520"/>
    <w:rsid w:val="002214C0"/>
    <w:rsid w:val="00233419"/>
    <w:rsid w:val="00244BC6"/>
    <w:rsid w:val="00257558"/>
    <w:rsid w:val="00286A63"/>
    <w:rsid w:val="002A78EE"/>
    <w:rsid w:val="002A7A3D"/>
    <w:rsid w:val="002B0CAE"/>
    <w:rsid w:val="002D64CD"/>
    <w:rsid w:val="00305FC0"/>
    <w:rsid w:val="00315FD7"/>
    <w:rsid w:val="00332CD0"/>
    <w:rsid w:val="00341280"/>
    <w:rsid w:val="00352FE5"/>
    <w:rsid w:val="00354595"/>
    <w:rsid w:val="00366A8F"/>
    <w:rsid w:val="003C40F3"/>
    <w:rsid w:val="003D6AE3"/>
    <w:rsid w:val="0042091F"/>
    <w:rsid w:val="004810A4"/>
    <w:rsid w:val="005102DA"/>
    <w:rsid w:val="005153F1"/>
    <w:rsid w:val="00541947"/>
    <w:rsid w:val="00543C3F"/>
    <w:rsid w:val="0055465D"/>
    <w:rsid w:val="00593204"/>
    <w:rsid w:val="005B6784"/>
    <w:rsid w:val="005F17FF"/>
    <w:rsid w:val="006236A7"/>
    <w:rsid w:val="00635AA4"/>
    <w:rsid w:val="006A6FCB"/>
    <w:rsid w:val="006C76B7"/>
    <w:rsid w:val="006D2BD3"/>
    <w:rsid w:val="006E1337"/>
    <w:rsid w:val="006F3BE2"/>
    <w:rsid w:val="00783F46"/>
    <w:rsid w:val="00792337"/>
    <w:rsid w:val="00797C0C"/>
    <w:rsid w:val="007E73B9"/>
    <w:rsid w:val="007F2F60"/>
    <w:rsid w:val="00806387"/>
    <w:rsid w:val="00864ED7"/>
    <w:rsid w:val="00887049"/>
    <w:rsid w:val="0089516C"/>
    <w:rsid w:val="008A04C5"/>
    <w:rsid w:val="008C1C59"/>
    <w:rsid w:val="008F4C3F"/>
    <w:rsid w:val="008F5006"/>
    <w:rsid w:val="00926D79"/>
    <w:rsid w:val="0094005F"/>
    <w:rsid w:val="00973297"/>
    <w:rsid w:val="009947A6"/>
    <w:rsid w:val="009C5303"/>
    <w:rsid w:val="009F039E"/>
    <w:rsid w:val="00A022AE"/>
    <w:rsid w:val="00A0700F"/>
    <w:rsid w:val="00A409BA"/>
    <w:rsid w:val="00A71364"/>
    <w:rsid w:val="00A86826"/>
    <w:rsid w:val="00AA368D"/>
    <w:rsid w:val="00AF31C9"/>
    <w:rsid w:val="00B02B81"/>
    <w:rsid w:val="00B061DB"/>
    <w:rsid w:val="00B06EC4"/>
    <w:rsid w:val="00B43D98"/>
    <w:rsid w:val="00B44BE9"/>
    <w:rsid w:val="00B4594B"/>
    <w:rsid w:val="00B55E61"/>
    <w:rsid w:val="00B901A0"/>
    <w:rsid w:val="00BA52B2"/>
    <w:rsid w:val="00BF3E42"/>
    <w:rsid w:val="00C0079C"/>
    <w:rsid w:val="00C23C55"/>
    <w:rsid w:val="00C26998"/>
    <w:rsid w:val="00C403DB"/>
    <w:rsid w:val="00C47A1F"/>
    <w:rsid w:val="00C82A01"/>
    <w:rsid w:val="00CB02B8"/>
    <w:rsid w:val="00CC6723"/>
    <w:rsid w:val="00D16B15"/>
    <w:rsid w:val="00D278E8"/>
    <w:rsid w:val="00D73CFA"/>
    <w:rsid w:val="00D80927"/>
    <w:rsid w:val="00D8681E"/>
    <w:rsid w:val="00DA5B83"/>
    <w:rsid w:val="00DA6A63"/>
    <w:rsid w:val="00DB52B7"/>
    <w:rsid w:val="00DB7710"/>
    <w:rsid w:val="00DF0B05"/>
    <w:rsid w:val="00DF4328"/>
    <w:rsid w:val="00DF529D"/>
    <w:rsid w:val="00E10BF5"/>
    <w:rsid w:val="00E168D7"/>
    <w:rsid w:val="00E21417"/>
    <w:rsid w:val="00E63AB2"/>
    <w:rsid w:val="00EC5FAF"/>
    <w:rsid w:val="00ED24F7"/>
    <w:rsid w:val="00EF0F2F"/>
    <w:rsid w:val="00F9631A"/>
    <w:rsid w:val="00FB5326"/>
    <w:rsid w:val="00FC70EF"/>
    <w:rsid w:val="00FE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240"/>
        <w:ind w:left="709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558"/>
    <w:pPr>
      <w:spacing w:after="120"/>
      <w:ind w:left="0" w:firstLine="284"/>
    </w:pPr>
  </w:style>
  <w:style w:type="paragraph" w:styleId="Ttulo1">
    <w:name w:val="heading 1"/>
    <w:basedOn w:val="Normal"/>
    <w:next w:val="Normal"/>
    <w:link w:val="Ttulo1Char"/>
    <w:uiPriority w:val="9"/>
    <w:qFormat/>
    <w:rsid w:val="00061FF0"/>
    <w:pPr>
      <w:keepNext/>
      <w:keepLines/>
      <w:spacing w:line="360" w:lineRule="auto"/>
      <w:ind w:firstLine="720"/>
      <w:outlineLvl w:val="0"/>
    </w:pPr>
    <w:rPr>
      <w:rFonts w:ascii="Times New Roman" w:eastAsiaTheme="majorEastAsia" w:hAnsi="Times New Roman" w:cstheme="majorBidi"/>
      <w:b/>
      <w:bCs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C1E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C1E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1FF0"/>
    <w:rPr>
      <w:rFonts w:ascii="Times New Roman" w:eastAsiaTheme="majorEastAsia" w:hAnsi="Times New Roman" w:cstheme="majorBidi"/>
      <w:b/>
      <w:bCs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0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C1E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grafodaLista">
    <w:name w:val="List Paragraph"/>
    <w:basedOn w:val="Normal"/>
    <w:uiPriority w:val="34"/>
    <w:qFormat/>
    <w:rsid w:val="000C1EAC"/>
    <w:pPr>
      <w:ind w:left="720"/>
      <w:contextualSpacing/>
    </w:pPr>
  </w:style>
  <w:style w:type="table" w:styleId="Tabelacomgrade">
    <w:name w:val="Table Grid"/>
    <w:basedOn w:val="Tabelanormal"/>
    <w:uiPriority w:val="59"/>
    <w:rsid w:val="0055465D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"/>
    <w:next w:val="Normal"/>
    <w:uiPriority w:val="35"/>
    <w:unhideWhenUsed/>
    <w:qFormat/>
    <w:rsid w:val="0055465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Fontepargpadro"/>
    <w:rsid w:val="008C1C59"/>
    <w:rPr>
      <w:color w:val="0000FF"/>
      <w:u w:val="single"/>
    </w:rPr>
  </w:style>
  <w:style w:type="paragraph" w:styleId="Textodenotadefim">
    <w:name w:val="endnote text"/>
    <w:basedOn w:val="Normal"/>
    <w:link w:val="TextodenotadefimChar"/>
    <w:autoRedefine/>
    <w:uiPriority w:val="99"/>
    <w:semiHidden/>
    <w:unhideWhenUsed/>
    <w:rsid w:val="00D8681E"/>
    <w:pPr>
      <w:spacing w:before="0" w:after="0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D8681E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D8681E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03D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03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trs.nasa.gov/search.jsp?R=1992002105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ADAF178-AFCD-4ADD-8B34-984E100B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UNESP</Company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Bellini Ferreira</dc:creator>
  <cp:lastModifiedBy>user</cp:lastModifiedBy>
  <cp:revision>2</cp:revision>
  <cp:lastPrinted>2012-08-20T12:05:00Z</cp:lastPrinted>
  <dcterms:created xsi:type="dcterms:W3CDTF">2012-08-23T12:48:00Z</dcterms:created>
  <dcterms:modified xsi:type="dcterms:W3CDTF">2012-08-23T12:48:00Z</dcterms:modified>
</cp:coreProperties>
</file>