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BMI0455 - Imunologia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sz w:val="24"/>
          <w:szCs w:val="24"/>
          <w:rtl w:val="0"/>
        </w:rPr>
        <w:t xml:space="preserve">Exercícios - Aula 3</w:t>
      </w:r>
    </w:p>
    <w:p w:rsidR="00000000" w:rsidDel="00000000" w:rsidP="00000000" w:rsidRDefault="00000000" w:rsidRPr="00000000" w14:paraId="00000003">
      <w:pPr>
        <w:spacing w:line="360" w:lineRule="auto"/>
        <w:jc w:val="left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Cite e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discorra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, brevemente, sobre as três principais características de linfócitos que explicam a sua importância na resposta contra microrganismos.</w:t>
      </w:r>
    </w:p>
    <w:p w:rsidR="00000000" w:rsidDel="00000000" w:rsidP="00000000" w:rsidRDefault="00000000" w:rsidRPr="00000000" w14:paraId="00000005">
      <w:pPr>
        <w:spacing w:line="360" w:lineRule="auto"/>
        <w:ind w:left="720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Maria voltou animada da sua aula de ativação de linfócitos da faculdade. Contou para sua mãe, imunologista, que achava importante o contato de crianças pequenas com diversos microrganismos para diminuir a probabilidade de ocorrência de reações alérgicas futuras. Você concorda com Maria, por quê?</w:t>
      </w:r>
    </w:p>
    <w:p w:rsidR="00000000" w:rsidDel="00000000" w:rsidP="00000000" w:rsidRDefault="00000000" w:rsidRPr="00000000" w14:paraId="00000007">
      <w:pPr>
        <w:spacing w:line="360" w:lineRule="auto"/>
        <w:ind w:left="720" w:firstLine="0"/>
        <w:jc w:val="both"/>
        <w:rPr>
          <w:rFonts w:ascii="Cambria" w:cs="Cambria" w:eastAsia="Cambria" w:hAnsi="Cambria"/>
          <w:color w:val="ff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360" w:lineRule="auto"/>
        <w:ind w:left="0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Complete as sentenças a seguir: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line="360" w:lineRule="auto"/>
        <w:ind w:left="1440" w:hanging="360"/>
        <w:jc w:val="both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As células T possuem, em sua superfície, receptores denominados 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  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. Esses receptores são associados à moléculas de 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    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que participam da transdução de sinal.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line="360" w:lineRule="auto"/>
        <w:ind w:left="1440" w:hanging="360"/>
        <w:jc w:val="both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As células T que expressam moléculas de 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    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em sua superfície e que interagem com APCs através do reconhecimento de moléculas de MHC de classe II são classificadas como 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           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(ou             ). 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360" w:lineRule="auto"/>
        <w:ind w:left="1440" w:hanging="360"/>
        <w:jc w:val="both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As células T que expressam moléculas de 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            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em sua superfície e que interagem com células nucleadas através do reconhecimento de moléculas de MHC de classe I são classificadas como </w:t>
      </w:r>
      <w:r w:rsidDel="00000000" w:rsidR="00000000" w:rsidRPr="00000000">
        <w:rPr>
          <w:rFonts w:ascii="Cambria" w:cs="Cambria" w:eastAsia="Cambria" w:hAnsi="Cambria"/>
          <w:color w:val="ff0000"/>
          <w:sz w:val="24"/>
          <w:szCs w:val="24"/>
          <w:rtl w:val="0"/>
        </w:rPr>
        <w:t xml:space="preserve">   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Apenas o reconhecimento do antígeno associado a moléculas de MHC é suficiente para ativação de linfócitos T. Discuta a afirmação acima.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Classifique as afirmações abaixo como verdadeiras ou falsas, justificando as falsas. 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line="360" w:lineRule="auto"/>
        <w:ind w:left="144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As moléculas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co-estimuladoras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são constantemente expressas na superfície das APCs e atuam exclusivamente na ativação de linfócitos T.</w:t>
      </w:r>
    </w:p>
    <w:p w:rsidR="00000000" w:rsidDel="00000000" w:rsidP="00000000" w:rsidRDefault="00000000" w:rsidRPr="00000000" w14:paraId="00000011">
      <w:pPr>
        <w:spacing w:line="360" w:lineRule="auto"/>
        <w:ind w:left="1440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360" w:lineRule="auto"/>
        <w:ind w:left="144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Cada indivíduo possui um repertório de linfócitos T que pode ou não possuir linfócitos específicos para um determinado antígeno. </w:t>
      </w:r>
    </w:p>
    <w:p w:rsidR="00000000" w:rsidDel="00000000" w:rsidP="00000000" w:rsidRDefault="00000000" w:rsidRPr="00000000" w14:paraId="00000013">
      <w:pPr>
        <w:spacing w:line="360" w:lineRule="auto"/>
        <w:ind w:left="1440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line="360" w:lineRule="auto"/>
        <w:ind w:left="144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As células T se diferenciam em células citotóxicas ou auxiliares nos linfonodos periféricos.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360" w:lineRule="auto"/>
        <w:ind w:left="144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Células Treg (que constituem um subtipo de célula T auxiliar) atuam no controle de respostas inflamatórias.</w:t>
      </w:r>
    </w:p>
    <w:p w:rsidR="00000000" w:rsidDel="00000000" w:rsidP="00000000" w:rsidRDefault="00000000" w:rsidRPr="00000000" w14:paraId="00000016">
      <w:pPr>
        <w:spacing w:line="360" w:lineRule="auto"/>
        <w:ind w:left="1440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360" w:lineRule="auto"/>
        <w:ind w:left="144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 subtipo de células T helper induzida contra o patógeno não influencia na capacidade do hospedeiro de controlar a infecção.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360" w:lineRule="auto"/>
        <w:ind w:left="144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Superantígenos são proteínas que ligam externamente ao TCR, aproximando-o do MHC, promovendo ativação generalizada e morte dos linfócitos.</w:t>
      </w:r>
    </w:p>
    <w:p w:rsidR="00000000" w:rsidDel="00000000" w:rsidP="00000000" w:rsidRDefault="00000000" w:rsidRPr="00000000" w14:paraId="00000019">
      <w:pPr>
        <w:spacing w:line="360" w:lineRule="auto"/>
        <w:ind w:left="1440" w:firstLine="0"/>
        <w:jc w:val="both"/>
        <w:rPr>
          <w:rFonts w:ascii="Cambria" w:cs="Cambria" w:eastAsia="Cambria" w:hAnsi="Cambria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0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Células T podem entrar em estado de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anergia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. Defina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anergia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e explique como esse estado pode ser induzido. </w:t>
      </w:r>
    </w:p>
    <w:p w:rsidR="00000000" w:rsidDel="00000000" w:rsidP="00000000" w:rsidRDefault="00000000" w:rsidRPr="00000000" w14:paraId="0000001C">
      <w:pPr>
        <w:spacing w:line="360" w:lineRule="auto"/>
        <w:ind w:left="720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Quais são os mecanismos pelos quais uma célula T citotóxica pode induzir morte na célula-alvo. </w:t>
      </w:r>
    </w:p>
    <w:p w:rsidR="00000000" w:rsidDel="00000000" w:rsidP="00000000" w:rsidRDefault="00000000" w:rsidRPr="00000000" w14:paraId="0000001E">
      <w:pPr>
        <w:spacing w:line="360" w:lineRule="auto"/>
        <w:ind w:left="720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Cite uma citocina produzida por cada subtipo de célula T CD4</w:t>
      </w:r>
      <w:r w:rsidDel="00000000" w:rsidR="00000000" w:rsidRPr="00000000">
        <w:rPr>
          <w:rFonts w:ascii="Cambria" w:cs="Cambria" w:eastAsia="Cambria" w:hAnsi="Cambria"/>
          <w:sz w:val="24"/>
          <w:szCs w:val="24"/>
          <w:vertAlign w:val="superscript"/>
          <w:rtl w:val="0"/>
        </w:rPr>
        <w:t xml:space="preserve">+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, indicando uma de suas funções. </w:t>
      </w:r>
    </w:p>
    <w:p w:rsidR="00000000" w:rsidDel="00000000" w:rsidP="00000000" w:rsidRDefault="00000000" w:rsidRPr="00000000" w14:paraId="00000020">
      <w:pPr>
        <w:spacing w:line="360" w:lineRule="auto"/>
        <w:ind w:left="720" w:firstLine="0"/>
        <w:jc w:val="both"/>
        <w:rPr>
          <w:rFonts w:ascii="Cambria" w:cs="Cambria" w:eastAsia="Cambria" w:hAnsi="Cambria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jc w:val="right"/>
      <w:rPr/>
    </w:pPr>
    <w:r w:rsidDel="00000000" w:rsidR="00000000" w:rsidRPr="00000000">
      <w:rPr/>
      <w:drawing>
        <wp:inline distB="114300" distT="114300" distL="114300" distR="114300">
          <wp:extent cx="2064544" cy="7286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64544" cy="7286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       </w:t>
    </w:r>
    <w:r w:rsidDel="00000000" w:rsidR="00000000" w:rsidRPr="00000000">
      <w:rPr/>
      <w:drawing>
        <wp:inline distB="114300" distT="114300" distL="114300" distR="114300">
          <wp:extent cx="1350637" cy="71557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36893" l="0" r="0" t="0"/>
                  <a:stretch>
                    <a:fillRect/>
                  </a:stretch>
                </pic:blipFill>
                <pic:spPr>
                  <a:xfrm>
                    <a:off x="0" y="0"/>
                    <a:ext cx="1350637" cy="71557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