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7809D67" w14:textId="77777777" w:rsidR="006F2EB2" w:rsidRPr="006F2EB2" w:rsidRDefault="006F2EB2" w:rsidP="006F2EB2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pt-BR"/>
        </w:rPr>
      </w:pPr>
      <w:r w:rsidRPr="006F2EB2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pt-BR"/>
        </w:rPr>
        <w:t>FACULDADE DE DIREITO DA UNIVERSIDADE DE SÃO PAULO</w:t>
      </w:r>
    </w:p>
    <w:p w14:paraId="0C2347D8" w14:textId="77777777" w:rsidR="006F2EB2" w:rsidRPr="006F2EB2" w:rsidRDefault="006F2EB2" w:rsidP="006F2EB2">
      <w:pPr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</w:pPr>
      <w:r w:rsidRPr="006F2EB2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DEPARTAMENTO DE DIREITO PROCESSUAL</w:t>
      </w:r>
    </w:p>
    <w:p w14:paraId="4087F1A0" w14:textId="77777777" w:rsidR="006F2EB2" w:rsidRPr="006F2EB2" w:rsidRDefault="006F2EB2" w:rsidP="006F2EB2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6F2EB2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DIREITO PROCESSUAL CIVIL (DPC 0437)</w:t>
      </w:r>
    </w:p>
    <w:p w14:paraId="3A4D5DE5" w14:textId="77777777" w:rsidR="006F2EB2" w:rsidRPr="006F2EB2" w:rsidRDefault="006F2EB2" w:rsidP="006F2EB2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6F2EB2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PROVAS EM ESPÉCIE</w:t>
      </w:r>
    </w:p>
    <w:p w14:paraId="4517DAB4" w14:textId="77777777" w:rsidR="006F2EB2" w:rsidRPr="006F2EB2" w:rsidRDefault="006F2EB2" w:rsidP="006F2EB2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6F2EB2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Professor Titular Heitor Sica</w:t>
      </w:r>
    </w:p>
    <w:p w14:paraId="3F2E144A" w14:textId="77777777" w:rsidR="006F2EB2" w:rsidRPr="006F2EB2" w:rsidRDefault="006F2EB2" w:rsidP="006F2EB2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6F2EB2">
        <w:rPr>
          <w:rFonts w:ascii="Times New Roman" w:eastAsia="Times New Roman" w:hAnsi="Times New Roman" w:cs="Times New Roman"/>
          <w:noProof/>
          <w:sz w:val="24"/>
          <w:szCs w:val="24"/>
          <w:lang w:eastAsia="pt-BR"/>
          <w14:ligatures w14:val="standardContextual"/>
        </w:rPr>
        <w:pict w14:anchorId="1247907F">
          <v:rect id="_x0000_i1043" alt="" style="width:424.75pt;height:.05pt;mso-width-percent:0;mso-height-percent:0;mso-width-percent:0;mso-height-percent:0" o:hrpct="999" o:hralign="center" o:hrstd="t" o:hr="t" fillcolor="#a0a0a0" stroked="f"/>
        </w:pict>
      </w:r>
    </w:p>
    <w:p w14:paraId="65CD401C" w14:textId="77777777" w:rsidR="006F2EB2" w:rsidRPr="006F2EB2" w:rsidRDefault="006F2EB2" w:rsidP="006F2EB2">
      <w:pPr>
        <w:spacing w:before="100" w:beforeAutospacing="1" w:after="100" w:afterAutospacing="1" w:line="276" w:lineRule="auto"/>
        <w:jc w:val="both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</w:pPr>
      <w:r w:rsidRPr="006F2EB2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 xml:space="preserve">SEMINÁRIO </w:t>
      </w:r>
    </w:p>
    <w:p w14:paraId="0E215B3A" w14:textId="77777777" w:rsidR="006F2EB2" w:rsidRPr="006F2EB2" w:rsidRDefault="006F2EB2" w:rsidP="006F2EB2">
      <w:pPr>
        <w:spacing w:before="100" w:beforeAutospacing="1" w:after="100" w:afterAutospacing="1" w:line="276" w:lineRule="auto"/>
        <w:jc w:val="both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</w:pPr>
      <w:r w:rsidRPr="006F2EB2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INSTRUÇÕES:</w:t>
      </w:r>
    </w:p>
    <w:p w14:paraId="30B56683" w14:textId="77777777" w:rsidR="006F2EB2" w:rsidRPr="006F2EB2" w:rsidRDefault="006F2EB2" w:rsidP="006F2EB2">
      <w:pPr>
        <w:numPr>
          <w:ilvl w:val="0"/>
          <w:numId w:val="1"/>
        </w:numPr>
        <w:spacing w:before="100" w:beforeAutospacing="1" w:after="100" w:afterAutospacing="1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6F2EB2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Leia os textos indicados </w:t>
      </w:r>
    </w:p>
    <w:p w14:paraId="3A2A6A09" w14:textId="77777777" w:rsidR="006F2EB2" w:rsidRPr="006F2EB2" w:rsidRDefault="006F2EB2" w:rsidP="006F2EB2">
      <w:pPr>
        <w:numPr>
          <w:ilvl w:val="0"/>
          <w:numId w:val="1"/>
        </w:numPr>
        <w:spacing w:before="100" w:beforeAutospacing="1" w:after="100" w:afterAutospacing="1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6F2EB2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Responda as questões em </w:t>
      </w:r>
      <w:r w:rsidRPr="006F2EB2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duplas ou trios</w:t>
      </w:r>
      <w:r w:rsidRPr="006F2EB2">
        <w:rPr>
          <w:rFonts w:ascii="Times New Roman" w:eastAsia="Times New Roman" w:hAnsi="Times New Roman" w:cs="Times New Roman"/>
          <w:sz w:val="24"/>
          <w:szCs w:val="24"/>
          <w:lang w:eastAsia="pt-BR"/>
        </w:rPr>
        <w:t>.</w:t>
      </w:r>
    </w:p>
    <w:p w14:paraId="0832A8D3" w14:textId="77777777" w:rsidR="006F2EB2" w:rsidRPr="006F2EB2" w:rsidRDefault="006F2EB2" w:rsidP="006F2EB2">
      <w:pPr>
        <w:numPr>
          <w:ilvl w:val="0"/>
          <w:numId w:val="1"/>
        </w:numPr>
        <w:spacing w:before="100" w:beforeAutospacing="1" w:after="100" w:afterAutospacing="1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6F2EB2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As repostas devem ser postadas no </w:t>
      </w:r>
      <w:proofErr w:type="spellStart"/>
      <w:r w:rsidRPr="006F2EB2">
        <w:rPr>
          <w:rFonts w:ascii="Times New Roman" w:eastAsia="Times New Roman" w:hAnsi="Times New Roman" w:cs="Times New Roman"/>
          <w:sz w:val="24"/>
          <w:szCs w:val="24"/>
          <w:lang w:eastAsia="pt-BR"/>
        </w:rPr>
        <w:t>moodle</w:t>
      </w:r>
      <w:proofErr w:type="spellEnd"/>
      <w:r w:rsidRPr="006F2EB2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até o dia 05/06/2025.</w:t>
      </w:r>
    </w:p>
    <w:p w14:paraId="1A835A0E" w14:textId="77777777" w:rsidR="006F2EB2" w:rsidRPr="006F2EB2" w:rsidRDefault="006F2EB2" w:rsidP="006F2EB2">
      <w:pPr>
        <w:numPr>
          <w:ilvl w:val="0"/>
          <w:numId w:val="1"/>
        </w:numPr>
        <w:spacing w:before="100" w:beforeAutospacing="1" w:after="100" w:afterAutospacing="1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6F2EB2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 xml:space="preserve">Apenas um dos alunos do grupo deve postar no </w:t>
      </w:r>
      <w:proofErr w:type="spellStart"/>
      <w:r w:rsidRPr="006F2EB2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moodle</w:t>
      </w:r>
      <w:proofErr w:type="spellEnd"/>
      <w:r w:rsidRPr="006F2EB2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.</w:t>
      </w:r>
    </w:p>
    <w:p w14:paraId="3C2295CA" w14:textId="77777777" w:rsidR="006F2EB2" w:rsidRPr="006F2EB2" w:rsidRDefault="006F2EB2" w:rsidP="006F2EB2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6F2EB2">
        <w:rPr>
          <w:rFonts w:ascii="Times New Roman" w:eastAsia="Times New Roman" w:hAnsi="Times New Roman" w:cs="Times New Roman"/>
          <w:noProof/>
          <w:sz w:val="24"/>
          <w:szCs w:val="24"/>
          <w:lang w:eastAsia="pt-BR"/>
          <w14:ligatures w14:val="standardContextual"/>
        </w:rPr>
        <w:pict w14:anchorId="5E7F1B32">
          <v:rect id="_x0000_i1044" alt="" style="width:424.75pt;height:.05pt;mso-width-percent:0;mso-height-percent:0;mso-width-percent:0;mso-height-percent:0" o:hrpct="999" o:hralign="center" o:hrstd="t" o:hr="t" fillcolor="#a0a0a0" stroked="f"/>
        </w:pict>
      </w:r>
    </w:p>
    <w:p w14:paraId="15D943E5" w14:textId="77777777" w:rsidR="006F2EB2" w:rsidRPr="006F2EB2" w:rsidRDefault="006F2EB2" w:rsidP="006F2EB2">
      <w:pPr>
        <w:spacing w:before="100" w:beforeAutospacing="1" w:after="100" w:afterAutospacing="1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6F2EB2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A empresa </w:t>
      </w:r>
      <w:r w:rsidRPr="006F2EB2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Sigma Tecnologia S.A.</w:t>
      </w:r>
      <w:r w:rsidRPr="006F2EB2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("Sigma"), multinacional do setor de tecnologia da informação, descobriu através de denúncia anônima que a </w:t>
      </w:r>
      <w:r w:rsidRPr="006F2EB2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Delta Sistemas Ltda.</w:t>
      </w:r>
      <w:r w:rsidRPr="006F2EB2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("Delta"), sua ex-parceira comercial, estaria utilizando indevidamente códigos-fonte proprietários desenvolvidos pela Sigma durante o período de parceria empresarial (2020-2022).</w:t>
      </w:r>
    </w:p>
    <w:p w14:paraId="4B0E760B" w14:textId="77777777" w:rsidR="006F2EB2" w:rsidRPr="006F2EB2" w:rsidRDefault="006F2EB2" w:rsidP="006F2EB2">
      <w:pPr>
        <w:spacing w:before="100" w:beforeAutospacing="1" w:after="100" w:afterAutospacing="1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6F2EB2">
        <w:rPr>
          <w:rFonts w:ascii="Times New Roman" w:eastAsia="Times New Roman" w:hAnsi="Times New Roman" w:cs="Times New Roman"/>
          <w:sz w:val="24"/>
          <w:szCs w:val="24"/>
          <w:lang w:eastAsia="pt-BR"/>
        </w:rPr>
        <w:t>A Sigma possui fortes indícios de que a Delta estaria incorporando seus algoritmos patenteados em novos produtos, causando significativo prejuízo financeiro e violação de direitos de propriedade intelectual. Contudo, os contratos de confidencialidade firmados à época estabeleciam rígidas cláusulas de sigilo sobre as informações técnicas compartilhadas.</w:t>
      </w:r>
    </w:p>
    <w:p w14:paraId="04D35346" w14:textId="77777777" w:rsidR="006F2EB2" w:rsidRPr="006F2EB2" w:rsidRDefault="006F2EB2" w:rsidP="006F2EB2">
      <w:pPr>
        <w:spacing w:before="100" w:beforeAutospacing="1" w:after="100" w:afterAutospacing="1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6F2EB2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Diante dessa situação, a Sigma ajuizou </w:t>
      </w:r>
      <w:r w:rsidRPr="006F2EB2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ação de produção antecipada de prova</w:t>
      </w:r>
      <w:r w:rsidRPr="006F2EB2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contra a Delta, com fundamento no art. 381, III, do CPC, requerendo:</w:t>
      </w:r>
    </w:p>
    <w:p w14:paraId="3A2E5EA6" w14:textId="77777777" w:rsidR="006F2EB2" w:rsidRPr="006F2EB2" w:rsidRDefault="006F2EB2" w:rsidP="006F2EB2">
      <w:pPr>
        <w:spacing w:before="100" w:beforeAutospacing="1" w:after="100" w:afterAutospacing="1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6F2EB2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a) </w:t>
      </w:r>
      <w:r w:rsidRPr="006F2EB2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Perícia técnica</w:t>
      </w:r>
      <w:r w:rsidRPr="006F2EB2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nos sistemas informatizados da Delta para identificação de códigos similares aos da Sigma; b) </w:t>
      </w:r>
      <w:r w:rsidRPr="006F2EB2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Exame documental</w:t>
      </w:r>
      <w:r w:rsidRPr="006F2EB2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de todos os contratos firmados pela Delta com seus desenvolvedores desde 2022; c) </w:t>
      </w:r>
      <w:r w:rsidRPr="006F2EB2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Análise forense</w:t>
      </w:r>
      <w:r w:rsidRPr="006F2EB2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dos servidores da Delta para rastreamento de arquivos digitais; d) </w:t>
      </w:r>
      <w:r w:rsidRPr="006F2EB2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Oitiva</w:t>
      </w:r>
      <w:r w:rsidRPr="006F2EB2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dos principais programadores da Delta sobre os métodos de desenvolvimento utilizados.</w:t>
      </w:r>
    </w:p>
    <w:p w14:paraId="1FF1E551" w14:textId="77777777" w:rsidR="006F2EB2" w:rsidRPr="006F2EB2" w:rsidRDefault="006F2EB2" w:rsidP="006F2EB2">
      <w:pPr>
        <w:spacing w:before="100" w:beforeAutospacing="1" w:after="100" w:afterAutospacing="1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6F2EB2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A </w:t>
      </w:r>
      <w:r w:rsidRPr="006F2EB2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Delta</w:t>
      </w:r>
      <w:r w:rsidRPr="006F2EB2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, por sua vez, apresentou </w:t>
      </w:r>
      <w:r w:rsidRPr="006F2EB2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contestação</w:t>
      </w:r>
      <w:r w:rsidRPr="006F2EB2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alegando que:</w:t>
      </w:r>
    </w:p>
    <w:p w14:paraId="1DF71431" w14:textId="77777777" w:rsidR="006F2EB2" w:rsidRPr="006F2EB2" w:rsidRDefault="006F2EB2" w:rsidP="006F2EB2">
      <w:pPr>
        <w:numPr>
          <w:ilvl w:val="0"/>
          <w:numId w:val="2"/>
        </w:numPr>
        <w:spacing w:before="100" w:beforeAutospacing="1" w:after="100" w:afterAutospacing="1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6F2EB2">
        <w:rPr>
          <w:rFonts w:ascii="Times New Roman" w:eastAsia="Times New Roman" w:hAnsi="Times New Roman" w:cs="Times New Roman"/>
          <w:sz w:val="24"/>
          <w:szCs w:val="24"/>
          <w:lang w:eastAsia="pt-BR"/>
        </w:rPr>
        <w:t>Os pedidos são genéricos e abusivos</w:t>
      </w:r>
    </w:p>
    <w:p w14:paraId="2ACE6562" w14:textId="77777777" w:rsidR="006F2EB2" w:rsidRPr="006F2EB2" w:rsidRDefault="006F2EB2" w:rsidP="006F2EB2">
      <w:pPr>
        <w:numPr>
          <w:ilvl w:val="0"/>
          <w:numId w:val="2"/>
        </w:numPr>
        <w:spacing w:before="100" w:beforeAutospacing="1" w:after="100" w:afterAutospacing="1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6F2EB2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As informações requeridas são </w:t>
      </w:r>
      <w:r w:rsidRPr="006F2EB2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altamente sigilosas</w:t>
      </w:r>
      <w:r w:rsidRPr="006F2EB2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e envolvem segredos industriais protegidos por lei</w:t>
      </w:r>
    </w:p>
    <w:p w14:paraId="4B142250" w14:textId="77777777" w:rsidR="006F2EB2" w:rsidRPr="006F2EB2" w:rsidRDefault="006F2EB2" w:rsidP="006F2EB2">
      <w:pPr>
        <w:numPr>
          <w:ilvl w:val="0"/>
          <w:numId w:val="2"/>
        </w:numPr>
        <w:spacing w:before="100" w:beforeAutospacing="1" w:after="100" w:afterAutospacing="1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6F2EB2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A produção das provas causaria </w:t>
      </w:r>
      <w:r w:rsidRPr="006F2EB2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grave prejuízo</w:t>
      </w:r>
      <w:r w:rsidRPr="006F2EB2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à sua operação e competitividade no mercado</w:t>
      </w:r>
    </w:p>
    <w:p w14:paraId="5E753C5D" w14:textId="77777777" w:rsidR="006F2EB2" w:rsidRPr="006F2EB2" w:rsidRDefault="006F2EB2" w:rsidP="006F2EB2">
      <w:pPr>
        <w:numPr>
          <w:ilvl w:val="0"/>
          <w:numId w:val="2"/>
        </w:numPr>
        <w:spacing w:before="100" w:beforeAutospacing="1" w:after="100" w:afterAutospacing="1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6F2EB2">
        <w:rPr>
          <w:rFonts w:ascii="Times New Roman" w:eastAsia="Times New Roman" w:hAnsi="Times New Roman" w:cs="Times New Roman"/>
          <w:sz w:val="24"/>
          <w:szCs w:val="24"/>
          <w:lang w:eastAsia="pt-BR"/>
        </w:rPr>
        <w:lastRenderedPageBreak/>
        <w:t xml:space="preserve">O requerente não possui </w:t>
      </w:r>
      <w:r w:rsidRPr="006F2EB2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interesse legítimo</w:t>
      </w:r>
      <w:r w:rsidRPr="006F2EB2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na produção das provas, tratando-se de "</w:t>
      </w:r>
      <w:proofErr w:type="spellStart"/>
      <w:r w:rsidRPr="006F2EB2">
        <w:rPr>
          <w:rFonts w:ascii="Times New Roman" w:eastAsia="Times New Roman" w:hAnsi="Times New Roman" w:cs="Times New Roman"/>
          <w:i/>
          <w:iCs/>
          <w:sz w:val="24"/>
          <w:szCs w:val="24"/>
          <w:lang w:eastAsia="pt-BR"/>
        </w:rPr>
        <w:t>fishing</w:t>
      </w:r>
      <w:proofErr w:type="spellEnd"/>
      <w:r w:rsidRPr="006F2EB2">
        <w:rPr>
          <w:rFonts w:ascii="Times New Roman" w:eastAsia="Times New Roman" w:hAnsi="Times New Roman" w:cs="Times New Roman"/>
          <w:i/>
          <w:iCs/>
          <w:sz w:val="24"/>
          <w:szCs w:val="24"/>
          <w:lang w:eastAsia="pt-BR"/>
        </w:rPr>
        <w:t xml:space="preserve"> </w:t>
      </w:r>
      <w:proofErr w:type="spellStart"/>
      <w:r w:rsidRPr="006F2EB2">
        <w:rPr>
          <w:rFonts w:ascii="Times New Roman" w:eastAsia="Times New Roman" w:hAnsi="Times New Roman" w:cs="Times New Roman"/>
          <w:i/>
          <w:iCs/>
          <w:sz w:val="24"/>
          <w:szCs w:val="24"/>
          <w:lang w:eastAsia="pt-BR"/>
        </w:rPr>
        <w:t>expedition</w:t>
      </w:r>
      <w:proofErr w:type="spellEnd"/>
      <w:r w:rsidRPr="006F2EB2">
        <w:rPr>
          <w:rFonts w:ascii="Times New Roman" w:eastAsia="Times New Roman" w:hAnsi="Times New Roman" w:cs="Times New Roman"/>
          <w:sz w:val="24"/>
          <w:szCs w:val="24"/>
          <w:lang w:eastAsia="pt-BR"/>
        </w:rPr>
        <w:t>"</w:t>
      </w:r>
    </w:p>
    <w:p w14:paraId="5299ABCD" w14:textId="77777777" w:rsidR="006F2EB2" w:rsidRPr="006F2EB2" w:rsidRDefault="006F2EB2" w:rsidP="006F2EB2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6F2EB2">
        <w:rPr>
          <w:rFonts w:ascii="Times New Roman" w:eastAsia="Times New Roman" w:hAnsi="Times New Roman" w:cs="Times New Roman"/>
          <w:noProof/>
          <w:sz w:val="24"/>
          <w:szCs w:val="24"/>
          <w:lang w:eastAsia="pt-BR"/>
          <w14:ligatures w14:val="standardContextual"/>
        </w:rPr>
        <w:pict w14:anchorId="4D433CCF">
          <v:rect id="_x0000_i1045" alt="" style="width:424.75pt;height:.05pt;mso-width-percent:0;mso-height-percent:0;mso-width-percent:0;mso-height-percent:0" o:hrpct="999" o:hralign="center" o:hrstd="t" o:hr="t" fillcolor="#a0a0a0" stroked="f"/>
        </w:pict>
      </w:r>
    </w:p>
    <w:p w14:paraId="6C60C684" w14:textId="77777777" w:rsidR="006F2EB2" w:rsidRPr="006F2EB2" w:rsidRDefault="006F2EB2" w:rsidP="006F2EB2">
      <w:pPr>
        <w:spacing w:before="100" w:beforeAutospacing="1" w:after="100" w:afterAutospacing="1" w:line="276" w:lineRule="auto"/>
        <w:jc w:val="both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</w:pPr>
      <w:r w:rsidRPr="006F2EB2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QUESTÕES:</w:t>
      </w:r>
    </w:p>
    <w:p w14:paraId="57AC9722" w14:textId="77777777" w:rsidR="006F2EB2" w:rsidRPr="006F2EB2" w:rsidRDefault="006F2EB2" w:rsidP="006F2EB2">
      <w:pPr>
        <w:spacing w:before="100" w:beforeAutospacing="1" w:after="100" w:afterAutospacing="1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6F2EB2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 xml:space="preserve">1) </w:t>
      </w:r>
      <w:r w:rsidRPr="006F2EB2">
        <w:rPr>
          <w:rFonts w:ascii="Times New Roman" w:eastAsia="Times New Roman" w:hAnsi="Times New Roman" w:cs="Times New Roman"/>
          <w:sz w:val="24"/>
          <w:szCs w:val="24"/>
          <w:lang w:eastAsia="pt-BR"/>
        </w:rPr>
        <w:t>A Sigma sustenta que, com base no art. 382, §4º do CPC, a contestação apresentada pela Delta deveria ser desentranhada dos autos, pois versaria sobre o mérito da eventual ação principal (violação de propriedade intelectual), matéria vedada na produção antecipada de prova.</w:t>
      </w:r>
    </w:p>
    <w:p w14:paraId="132EE3D2" w14:textId="77777777" w:rsidR="006F2EB2" w:rsidRPr="006F2EB2" w:rsidRDefault="006F2EB2" w:rsidP="006F2EB2">
      <w:pPr>
        <w:spacing w:before="100" w:beforeAutospacing="1" w:after="100" w:afterAutospacing="1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6F2EB2">
        <w:rPr>
          <w:rFonts w:ascii="Times New Roman" w:eastAsia="Times New Roman" w:hAnsi="Times New Roman" w:cs="Times New Roman"/>
          <w:sz w:val="24"/>
          <w:szCs w:val="24"/>
          <w:lang w:eastAsia="pt-BR"/>
        </w:rPr>
        <w:t>A Delta, por outro lado, argumenta que sua defesa se limita a questões processuais legítimas sobre a admissibilidade e escopo da produção probatória, não adentrando no mérito.</w:t>
      </w:r>
    </w:p>
    <w:p w14:paraId="08E6BB6B" w14:textId="77777777" w:rsidR="006F2EB2" w:rsidRPr="006F2EB2" w:rsidRDefault="006F2EB2" w:rsidP="006F2EB2">
      <w:pPr>
        <w:spacing w:before="100" w:beforeAutospacing="1" w:after="100" w:afterAutospacing="1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6F2EB2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Sendo você o(a) magistrado(a) responsável pelo caso, elabore decisão fundamentada sobre:</w:t>
      </w:r>
    </w:p>
    <w:p w14:paraId="16B0C054" w14:textId="77777777" w:rsidR="006F2EB2" w:rsidRPr="006F2EB2" w:rsidRDefault="006F2EB2" w:rsidP="006F2EB2">
      <w:pPr>
        <w:numPr>
          <w:ilvl w:val="0"/>
          <w:numId w:val="3"/>
        </w:numPr>
        <w:spacing w:before="100" w:beforeAutospacing="1" w:after="100" w:afterAutospacing="1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6F2EB2">
        <w:rPr>
          <w:rFonts w:ascii="Times New Roman" w:eastAsia="Times New Roman" w:hAnsi="Times New Roman" w:cs="Times New Roman"/>
          <w:sz w:val="24"/>
          <w:szCs w:val="24"/>
          <w:lang w:eastAsia="pt-BR"/>
        </w:rPr>
        <w:t>A admissibilidade da contestação apresentada pela Delta</w:t>
      </w:r>
    </w:p>
    <w:p w14:paraId="15CF22CC" w14:textId="77777777" w:rsidR="006F2EB2" w:rsidRPr="006F2EB2" w:rsidRDefault="006F2EB2" w:rsidP="006F2EB2">
      <w:pPr>
        <w:numPr>
          <w:ilvl w:val="0"/>
          <w:numId w:val="3"/>
        </w:numPr>
        <w:spacing w:before="100" w:beforeAutospacing="1" w:after="100" w:afterAutospacing="1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6F2EB2">
        <w:rPr>
          <w:rFonts w:ascii="Times New Roman" w:eastAsia="Times New Roman" w:hAnsi="Times New Roman" w:cs="Times New Roman"/>
          <w:sz w:val="24"/>
          <w:szCs w:val="24"/>
          <w:lang w:eastAsia="pt-BR"/>
        </w:rPr>
        <w:t>Os limites da defesa na produção antecipada de prova</w:t>
      </w:r>
    </w:p>
    <w:p w14:paraId="46769C23" w14:textId="77777777" w:rsidR="006F2EB2" w:rsidRPr="006F2EB2" w:rsidRDefault="006F2EB2" w:rsidP="006F2EB2">
      <w:pPr>
        <w:numPr>
          <w:ilvl w:val="0"/>
          <w:numId w:val="3"/>
        </w:numPr>
        <w:spacing w:before="100" w:beforeAutospacing="1" w:after="100" w:afterAutospacing="1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6F2EB2">
        <w:rPr>
          <w:rFonts w:ascii="Times New Roman" w:eastAsia="Times New Roman" w:hAnsi="Times New Roman" w:cs="Times New Roman"/>
          <w:sz w:val="24"/>
          <w:szCs w:val="24"/>
          <w:lang w:eastAsia="pt-BR"/>
        </w:rPr>
        <w:t>A aplicação do art. 382, §4º do CPC ao caso concreto</w:t>
      </w:r>
    </w:p>
    <w:p w14:paraId="4F50D51D" w14:textId="77777777" w:rsidR="006F2EB2" w:rsidRPr="006F2EB2" w:rsidRDefault="006F2EB2" w:rsidP="006F2EB2">
      <w:pPr>
        <w:numPr>
          <w:ilvl w:val="0"/>
          <w:numId w:val="3"/>
        </w:numPr>
        <w:spacing w:before="100" w:beforeAutospacing="1" w:after="100" w:afterAutospacing="1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6F2EB2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Trate sobre a distribuição dos ônus </w:t>
      </w:r>
      <w:proofErr w:type="spellStart"/>
      <w:r w:rsidRPr="006F2EB2">
        <w:rPr>
          <w:rFonts w:ascii="Times New Roman" w:eastAsia="Times New Roman" w:hAnsi="Times New Roman" w:cs="Times New Roman"/>
          <w:sz w:val="24"/>
          <w:szCs w:val="24"/>
          <w:lang w:eastAsia="pt-BR"/>
        </w:rPr>
        <w:t>da</w:t>
      </w:r>
      <w:proofErr w:type="spellEnd"/>
      <w:r w:rsidRPr="006F2EB2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sucumbência</w:t>
      </w:r>
    </w:p>
    <w:p w14:paraId="6B0C90AD" w14:textId="77777777" w:rsidR="006F2EB2" w:rsidRPr="006F2EB2" w:rsidRDefault="006F2EB2" w:rsidP="006F2EB2">
      <w:pPr>
        <w:spacing w:before="100" w:beforeAutospacing="1" w:after="100" w:afterAutospacing="1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6F2EB2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2)</w:t>
      </w:r>
      <w:r w:rsidRPr="006F2EB2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O juiz, após análise preliminar, determinou que a perícia fosse realizada por amostragem, selecionando apenas 30% dos sistemas da Delta para análise, considerando a necessidade de equilibrar o direito à prova com a proteção das informações sensíveis.</w:t>
      </w:r>
    </w:p>
    <w:p w14:paraId="5C172034" w14:textId="77777777" w:rsidR="006F2EB2" w:rsidRPr="006F2EB2" w:rsidRDefault="006F2EB2" w:rsidP="006F2EB2">
      <w:pPr>
        <w:spacing w:before="100" w:beforeAutospacing="1" w:after="100" w:afterAutospacing="1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6F2EB2">
        <w:rPr>
          <w:rFonts w:ascii="Times New Roman" w:eastAsia="Times New Roman" w:hAnsi="Times New Roman" w:cs="Times New Roman"/>
          <w:sz w:val="24"/>
          <w:szCs w:val="24"/>
          <w:lang w:eastAsia="pt-BR"/>
        </w:rPr>
        <w:t>Durante a produção da prova, a Delta questionou a validade da perícia por amostragem, sustentando que apenas o exame completo de todos os sistemas poderia revelar a verdade dos fatos. O magistrado, então, realizou cotejo detalhado entre o material periciado e sua capacidade de demonstrar a realidade factual, concluindo que a amostra era representativa e suficiente para os fins probatórios.</w:t>
      </w:r>
    </w:p>
    <w:p w14:paraId="7E3B3F55" w14:textId="77777777" w:rsidR="006F2EB2" w:rsidRPr="006F2EB2" w:rsidRDefault="006F2EB2" w:rsidP="006F2EB2">
      <w:pPr>
        <w:spacing w:before="100" w:beforeAutospacing="1" w:after="100" w:afterAutospacing="1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6F2EB2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Analise criticamente:</w:t>
      </w:r>
    </w:p>
    <w:p w14:paraId="41F994EB" w14:textId="77777777" w:rsidR="006F2EB2" w:rsidRPr="006F2EB2" w:rsidRDefault="006F2EB2" w:rsidP="006F2EB2">
      <w:pPr>
        <w:numPr>
          <w:ilvl w:val="0"/>
          <w:numId w:val="4"/>
        </w:numPr>
        <w:spacing w:before="100" w:beforeAutospacing="1" w:after="100" w:afterAutospacing="1" w:line="276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6F2EB2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A possibilidade jurídica do magistrado realizar tal </w:t>
      </w:r>
      <w:r w:rsidRPr="006F2EB2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cotejo valorativo</w:t>
      </w:r>
      <w:r w:rsidRPr="006F2EB2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na fase de produção antecipada de prova</w:t>
      </w:r>
    </w:p>
    <w:p w14:paraId="2574C39A" w14:textId="18510D5D" w:rsidR="006F2EB2" w:rsidRPr="006F2EB2" w:rsidRDefault="006F2EB2" w:rsidP="006F2EB2">
      <w:pPr>
        <w:numPr>
          <w:ilvl w:val="0"/>
          <w:numId w:val="4"/>
        </w:numPr>
        <w:spacing w:before="100" w:beforeAutospacing="1" w:after="100" w:afterAutospacing="1" w:line="276" w:lineRule="auto"/>
        <w:jc w:val="both"/>
        <w:rPr>
          <w:rFonts w:ascii="Times New Roman" w:hAnsi="Times New Roman" w:cs="Times New Roman"/>
          <w:kern w:val="2"/>
          <w:sz w:val="24"/>
          <w:szCs w:val="24"/>
          <w14:ligatures w14:val="standardContextual"/>
        </w:rPr>
      </w:pPr>
      <w:r w:rsidRPr="006F2EB2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Se essa análise extrapola os limites da cognição permitida nesta modalidade </w:t>
      </w:r>
    </w:p>
    <w:p w14:paraId="295480A5" w14:textId="77777777" w:rsidR="002A41A4" w:rsidRDefault="002A41A4"/>
    <w:sectPr w:rsidR="002A41A4" w:rsidSect="00982102">
      <w:pgSz w:w="11900" w:h="16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DFE5244"/>
    <w:multiLevelType w:val="multilevel"/>
    <w:tmpl w:val="7EB2181A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4D95C5F"/>
    <w:multiLevelType w:val="multilevel"/>
    <w:tmpl w:val="D402F5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29821796"/>
    <w:multiLevelType w:val="multilevel"/>
    <w:tmpl w:val="1C02D5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30AA1D8E"/>
    <w:multiLevelType w:val="multilevel"/>
    <w:tmpl w:val="71CE86C6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  <w:b w:val="0"/>
        <w:bCs w:val="0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77F71627"/>
    <w:multiLevelType w:val="multilevel"/>
    <w:tmpl w:val="231E8A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2"/>
  </w:num>
  <w:num w:numId="3">
    <w:abstractNumId w:val="4"/>
  </w:num>
  <w:num w:numId="4">
    <w:abstractNumId w:val="3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F2EB2"/>
    <w:rsid w:val="002A41A4"/>
    <w:rsid w:val="006F2E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0DAB892"/>
  <w15:chartTrackingRefBased/>
  <w15:docId w15:val="{F0FC52CA-136C-40B6-B63F-A3C49B147C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565</Words>
  <Characters>3053</Characters>
  <Application>Microsoft Office Word</Application>
  <DocSecurity>0</DocSecurity>
  <Lines>25</Lines>
  <Paragraphs>7</Paragraphs>
  <ScaleCrop>false</ScaleCrop>
  <Company/>
  <LinksUpToDate>false</LinksUpToDate>
  <CharactersWithSpaces>3611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Carolina Meireles</dc:creator>
  <cp:keywords/>
  <dc:description/>
  <cp:lastModifiedBy>Carolina Meireles</cp:lastModifiedBy>
  <cp:revision>1</cp:revision>
  <dcterms:created xsi:type="dcterms:W3CDTF">2025-05-27T15:15:00Z</dcterms:created>
  <dcterms:modified xsi:type="dcterms:W3CDTF">2025-05-27T15:16:00Z</dcterms:modified>
</cp:coreProperties>
</file>