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Faculdade de Filosofia, Letras e Ciências Humanas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Departamento de Ciência Política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Métodos Quantitativos e Técnicas em Ciência Política</w:t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1º semestre /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Lab 9. Inferência Estatística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I – Resolvam as questões a seguir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Questão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Considere as afirmações a seguir: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– Seja α a probabilidade de ocorrência do Erro Tipo I em um teste de hipóteses. Isto significa dizer que  </w:t>
      </w:r>
      <m:oMath>
        <m:r>
          <w:rPr>
            <w:rFonts w:ascii="Cambria Math" w:cs="Cambria Math" w:eastAsia="Cambria Math" w:hAnsi="Cambria Math"/>
          </w:rPr>
          <m:t xml:space="preserve">α=P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rejeitar 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0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| 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0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 </m:t>
            </m:r>
            <m:r>
              <w:rPr/>
              <m:t xml:space="preserve">é falso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II – Seja β a probabilidade de ocorrência do Erro Tipo II em um teste de hipóteses. Isto significa dizer que  </w:t>
      </w:r>
      <m:oMath>
        <m:r>
          <w:rPr>
            <w:rFonts w:ascii="Cambria Math" w:cs="Cambria Math" w:eastAsia="Cambria Math" w:hAnsi="Cambria Math"/>
          </w:rPr>
          <m:t xml:space="preserve">β=P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aceitar 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0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| </m:t>
            </m:r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0</m:t>
                </m:r>
              </m:sub>
            </m:sSub>
            <m:r>
              <w:rPr>
                <w:rFonts w:ascii="Cambria Math" w:cs="Cambria Math" w:eastAsia="Cambria Math" w:hAnsi="Cambria Math"/>
              </w:rPr>
              <m:t xml:space="preserve"> </m:t>
            </m:r>
            <m:r>
              <w:rPr/>
              <m:t xml:space="preserve">é falso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Assinale a alternativa que melhor descreve a validade das proposições acima: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são falsas;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afirmação I é falsa, mas a afirmação II é verdadeira;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afirmação I é verdadeira, mas a afirmação I é falsa;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são verdadeiras.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Para as próximas duas questões, considere o seguinte enunciado: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Em Junho/2014, um jornal de grande circulação reportou os resultados de uma pesquisa de opinião que perguntava: “De tudo que você sabe sobre a presidente Dilma Rousseff, ela possui a honestidade e integridade que você espera em um presidente?”. A pesquisa entrevistou 518 adultos e 233 responderam “sim”. Os adversários políticos de Dilma Rousseff podem concluir que </w:t>
      </w:r>
      <w:r w:rsidDel="00000000" w:rsidR="00000000" w:rsidRPr="00000000">
        <w:rPr>
          <w:b w:val="1"/>
          <w:rtl w:val="0"/>
        </w:rPr>
        <w:t xml:space="preserve">apenas uma minoria (menos da metade) da população</w:t>
      </w:r>
      <w:r w:rsidDel="00000000" w:rsidR="00000000" w:rsidRPr="00000000">
        <w:rPr>
          <w:rtl w:val="0"/>
        </w:rPr>
        <w:t xml:space="preserve"> de Brasileiros acham que Dilma possui a honestidade e a integridade para ser presidente?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Questão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Qual teste você considera adequado para a situação acima? Um teste que considere: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μ=45%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vs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μ≠45%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μ=50%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vs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μ≠50%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μ=50%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vs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μ&lt;50%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μ=50%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vs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: μ&gt;50%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Questão 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Tendo escolhido o teste adequado para a pergunta apresentada no texto apresentado acima, para </w:t>
      </w:r>
      <m:oMath>
        <m:r>
          <w:rPr>
            <w:rFonts w:ascii="Cambria Math" w:cs="Cambria Math" w:eastAsia="Cambria Math" w:hAnsi="Cambria Math"/>
          </w:rPr>
          <m:t xml:space="preserve">α=5%</m:t>
        </m:r>
      </m:oMath>
      <w:r w:rsidDel="00000000" w:rsidR="00000000" w:rsidRPr="00000000">
        <w:rPr>
          <w:rtl w:val="0"/>
        </w:rPr>
        <w:t xml:space="preserve">, qual a conclusão a que o pesquisador pode corretamente chegar?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Sim, menos da metade da população acha que Dilma possui a honestidade e a integridade para ser presidente porque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calculado para o teste de Hipótese Nula é igual a 2,32;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Sim, menos da metade da população acha que Dilma possui a honestidade e a integridade para ser presidente porque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calculado para o teste de Hipótese Nula é igual a 1,16;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Não, menos da metade da população não acha que Dilma possui a honestidade e a integridade para ser presidente porque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calculado para o teste de Hipótese Nula é igual a 2,32;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Não, menos da metade da população não acha que Dilma possui a honestidade e a integridade para ser presidente porque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p-valor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calculado para o teste de Hipótese Nula é igual a 6,94.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II – Resolva as questões a seguir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Nesta atividade, vamos nos concentrar em tentar compreender os conceitos da teoria das probabilidades, que enfatiza o entendimento de por que o intervalo de confiança é uma quantidade aleatória, sujeita à variabilidade de amostragens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A tabela abaixo é um resumo que irá ajudá-lo a compreender os exemplos desenvolvidos neste laboratório. </w:t>
      </w:r>
    </w:p>
    <w:tbl>
      <w:tblPr>
        <w:tblStyle w:val="Table1"/>
        <w:tblW w:w="918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37"/>
        <w:gridCol w:w="1620"/>
        <w:gridCol w:w="3893"/>
        <w:gridCol w:w="2430"/>
        <w:tblGridChange w:id="0">
          <w:tblGrid>
            <w:gridCol w:w="1237"/>
            <w:gridCol w:w="1620"/>
            <w:gridCol w:w="3893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1. Resumos dos Métodos de Estimação para a Média e a Proporção para Populações Infinitas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Parâmetro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 Estimado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Erro padrão Estimado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Intervalo de Confiança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Média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</w:rPr>
                    <m:t xml:space="preserve">y</m:t>
                  </m:r>
                </m:e>
              </m:bar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</w:rPr>
                    <m:t xml:space="preserve">i=1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</w:rPr>
                    <m:t xml:space="preserve">n</m:t>
                  </m:r>
                </m:sup>
              </m:nary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/>
            </w:pPr>
            <m:oMath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>
                  <m:bar>
                    <m:barPr>
                      <m:pos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y </m:t>
                      </m:r>
                    </m:e>
                  </m:ba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s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n</m:t>
                      </m:r>
                    </m:e>
                  </m:rad>
                </m:den>
              </m:f>
            </m:oMath>
            <w:r w:rsidDel="00000000" w:rsidR="00000000" w:rsidRPr="00000000">
              <w:rPr>
                <w:rtl w:val="0"/>
              </w:rPr>
              <w:t xml:space="preserve">, onde 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y</m:t>
                  </m:r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fPr>
                    <m:num>
                      <m:nary>
                        <m:naryPr>
                          <m:chr m:val="∑"/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i=1</m:t>
                          </m:r>
                        </m:sub>
                        <m:sup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n</m:t>
                          </m:r>
                        </m:sup>
                      </m:nary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(</m:t>
                          </m:r>
                          <m:sSub>
                            <m:sSubPr>
                              <m:ctrlPr>
                                <w:rPr>
                                  <w:rFonts w:ascii="Cambria Math" w:cs="Cambria Math" w:eastAsia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cs="Cambria Math" w:eastAsia="Cambria Math" w:hAnsi="Cambria Math"/>
                                </w:rPr>
                                <m:t xml:space="preserve">y</m:t>
                              </m:r>
                            </m:e>
                            <m:sub>
                              <m:r>
                                <w:rPr>
                                  <w:rFonts w:ascii="Cambria Math" w:cs="Cambria Math" w:eastAsia="Cambria Math" w:hAnsi="Cambria Math"/>
                                </w:rPr>
                                <m:t xml:space="preserve">i</m:t>
                              </m:r>
                            </m:sub>
                          </m:sSub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-</m:t>
                          </m:r>
                          <m:bar>
                            <m:barPr>
                              <m:pos/>
                              <m:ctrlPr>
                                <w:rPr>
                                  <w:rFonts w:ascii="Cambria Math" w:cs="Cambria Math" w:eastAsia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cs="Cambria Math" w:eastAsia="Cambria Math" w:hAnsi="Cambria Math"/>
                                </w:rPr>
                                <m:t xml:space="preserve">y</m:t>
                              </m:r>
                            </m:e>
                          </m:bar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)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</w:rPr>
                            <m:t xml:space="preserve"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cs="Cambria Math" w:eastAsia="Cambria Math" w:hAnsi="Cambria Math"/>
                        </w:rPr>
                        <m:t xml:space="preserve">n-1</m:t>
                      </m:r>
                    </m:den>
                  </m:f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25" style="width:53.25pt;height:46.5pt" o:ole="" type="#_x0000_t75">
                  <v:imagedata r:id="rId1" o:title=""/>
                </v:shape>
                <o:OLEObject DrawAspect="Content" r:id="rId2" ObjectID="_1749465041" ProgID="Equation.DSMT4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Proporção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m:oMath>
              <m:acc>
                <m:accPr>
                  <m:chr m:val="̂"/>
                </m:accPr>
                <m:e>
                  <m:r>
                    <m:t>π</m:t>
                  </m:r>
                </m:e>
              </m:acc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>
                  <m:acc>
                    <m:accPr>
                      <m:chr m:val="̂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>π</m:t>
                      </m:r>
                    </m:e>
                  </m:acc>
                </m:sub>
              </m:sSub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fPr>
                    <m:num>
                      <m:acc>
                        <m:accPr>
                          <m:chr m:val="̂"/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cs="Cambria Math" w:eastAsia="Cambria Math" w:hAnsi="Cambria Math"/>
                            </w:rPr>
                            <m:t>π</m:t>
                          </m:r>
                        </m:e>
                      </m:acc>
                      <m:r>
                        <w:rPr>
                          <w:rFonts w:ascii="Cambria Math" w:cs="Cambria Math" w:eastAsia="Cambria Math" w:hAnsi="Cambria Math"/>
                        </w:rPr>
                        <m:t xml:space="preserve">(1-</m:t>
                      </m:r>
                      <m:acc>
                        <m:accPr>
                          <m:chr m:val="̂"/>
                          <m:ctrlPr>
                            <w:rPr>
                              <w:rFonts w:ascii="Cambria Math" w:cs="Cambria Math" w:eastAsia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cs="Cambria Math" w:eastAsia="Cambria Math" w:hAnsi="Cambria Math"/>
                            </w:rPr>
                            <m:t>π</m:t>
                          </m:r>
                        </m:e>
                      </m:acc>
                      <m:r>
                        <w:rPr>
                          <w:rFonts w:ascii="Cambria Math" w:cs="Cambria Math" w:eastAsia="Cambria Math" w:hAnsi="Cambria Math"/>
                        </w:rPr>
                        <m:t xml:space="preserve">)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</w:rPr>
                        <m:t xml:space="preserve">n</m:t>
                      </m:r>
                    </m:den>
                  </m:f>
                </m:e>
              </m:rad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acc>
                <m:accPr>
                  <m:chr m:val="̂"/>
                </m:accPr>
                <m:e>
                  <m:r>
                    <m:t>π</m:t>
                  </m:r>
                </m:e>
              </m:acc>
              <m:r>
                <w:rPr>
                  <w:rFonts w:ascii="Cambria Math" w:cs="Cambria Math" w:eastAsia="Cambria Math" w:hAnsi="Cambria Math"/>
                </w:rPr>
                <m:t xml:space="preserve">±z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>
                  <m:acc>
                    <m:accPr>
                      <m:chr m:val="̂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>π</m:t>
                      </m:r>
                    </m:e>
                  </m:acc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Exercício 1. Intervalos de confiança para uma variável contínua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Neste Laboratório vamos utilizar o banco de dados construído a partir de um questionário sobre o tempo gasto para chegar até a USP.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Selecione 5 repostas de forma aleatória. Registre, agora, na tabela abaixo o ID obtido em cada sorteio e verifique, para cada um deles, o tempo de deslocamento até a universidade. Assumimos nesta atividade que os dados coletados nesta turma compõem uma amostra aleatória dos alunos da USP.</w:t>
      </w:r>
    </w:p>
    <w:tbl>
      <w:tblPr>
        <w:tblStyle w:val="Table2"/>
        <w:tblW w:w="75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2512"/>
        <w:gridCol w:w="2636"/>
        <w:tblGridChange w:id="0">
          <w:tblGrid>
            <w:gridCol w:w="2358"/>
            <w:gridCol w:w="2512"/>
            <w:gridCol w:w="2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right" w:leader="none" w:pos="45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selecionado </w:t>
              <w:tab/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b w:val="1"/>
          <w:rtl w:val="0"/>
        </w:rPr>
        <w:t xml:space="preserve">Exercício 2</w:t>
      </w:r>
      <w:r w:rsidDel="00000000" w:rsidR="00000000" w:rsidRPr="00000000">
        <w:rPr>
          <w:rtl w:val="0"/>
        </w:rPr>
        <w:t xml:space="preserve">. Use os valores que foram obtidos a partir de sua amostra para calcular a média para esta amostra de n = 5.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(Dica: Utilize as fórmulas fornecidas na Tabela 1.).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b w:val="1"/>
          <w:rtl w:val="0"/>
        </w:rPr>
        <w:t xml:space="preserve">Exercício 3</w:t>
      </w:r>
      <w:r w:rsidDel="00000000" w:rsidR="00000000" w:rsidRPr="00000000">
        <w:rPr>
          <w:rtl w:val="0"/>
        </w:rPr>
        <w:t xml:space="preserve">. Por favor, use os resultados apresentados na Tabela 2 para calcular o desvio padrão para a sua amostra.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b w:val="1"/>
          <w:rtl w:val="0"/>
        </w:rPr>
        <w:t xml:space="preserve">Exercício 4.</w:t>
      </w:r>
      <w:r w:rsidDel="00000000" w:rsidR="00000000" w:rsidRPr="00000000">
        <w:rPr>
          <w:rtl w:val="0"/>
        </w:rPr>
        <w:t xml:space="preserve"> Use a informação que você calculou acima para calcular o intervalo de confiança de 68% para o valor médio da avaliação usando a distribuição normal (mesmo a amostra sendo pequena, por favor use a distribuição normal).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Exercício 5.</w:t>
      </w:r>
      <w:r w:rsidDel="00000000" w:rsidR="00000000" w:rsidRPr="00000000">
        <w:rPr>
          <w:rtl w:val="0"/>
        </w:rPr>
        <w:t xml:space="preserve"> Agora vamos combinar nossos resultados para criar um gráfico das médias amostrais e intervalos de confiança de 68% obtidos por cada grupo. Por favor, registre a linha de intervalo de confiança e média amostral relatado por cada grupo na figura abaixo.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139700</wp:posOffset>
                </wp:positionV>
                <wp:extent cx="10795" cy="204025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603" y="2759873"/>
                          <a:ext cx="10795" cy="2040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139700</wp:posOffset>
                </wp:positionV>
                <wp:extent cx="10795" cy="204025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2040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1841500</wp:posOffset>
                </wp:positionV>
                <wp:extent cx="5210175" cy="3556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5675" y="3766983"/>
                          <a:ext cx="5200650" cy="260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1841500</wp:posOffset>
                </wp:positionV>
                <wp:extent cx="5210175" cy="3556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35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1925320</wp:posOffset>
                </wp:positionV>
                <wp:extent cx="1343025" cy="339725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9250" y="3614900"/>
                          <a:ext cx="133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Média Populacional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1925320</wp:posOffset>
                </wp:positionV>
                <wp:extent cx="1343025" cy="339725"/>
                <wp:effectExtent b="0" l="0" r="0" t="0"/>
                <wp:wrapSquare wrapText="bothSides" distB="45720" distT="45720" distL="114300" distR="114300"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Exercício 6</w:t>
      </w:r>
      <w:r w:rsidDel="00000000" w:rsidR="00000000" w:rsidRPr="00000000">
        <w:rPr>
          <w:rtl w:val="0"/>
        </w:rPr>
        <w:t xml:space="preserve">.   Qual % dos intervalos contêm a média da população (valor real)? É isso que você esperava? Por quê?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Exercício 7</w:t>
      </w:r>
      <w:r w:rsidDel="00000000" w:rsidR="00000000" w:rsidRPr="00000000">
        <w:rPr>
          <w:rtl w:val="0"/>
        </w:rPr>
        <w:t xml:space="preserve">. Vamos agora fazer os mesmos cálculos utilizando a distribuição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. Calcule o intervalo de confiança de 68%, utilizando uma distribuição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com 4 graus de liberdade para a sua amostra. 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Exercício 8</w:t>
      </w:r>
      <w:r w:rsidDel="00000000" w:rsidR="00000000" w:rsidRPr="00000000">
        <w:rPr>
          <w:rtl w:val="0"/>
        </w:rPr>
        <w:t xml:space="preserve">.  Agora vamos combinar nossos resultados para criar um gráfico das médias amostrais e intervalos de confiança de 68% obtidos para cada grupo, utilizando a distribuição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. Registre a linha de intervalo de confiança e média amostral relatado por cada grupo na figura abaixo.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152400</wp:posOffset>
                </wp:positionV>
                <wp:extent cx="10795" cy="204025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603" y="2759873"/>
                          <a:ext cx="10795" cy="2040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152400</wp:posOffset>
                </wp:positionV>
                <wp:extent cx="10795" cy="204025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" cy="2040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color w:val="4f81bd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1841500</wp:posOffset>
                </wp:positionV>
                <wp:extent cx="5210175" cy="3556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5675" y="3766983"/>
                          <a:ext cx="5200650" cy="260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1841500</wp:posOffset>
                </wp:positionV>
                <wp:extent cx="5210175" cy="3556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35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jc w:val="both"/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185420</wp:posOffset>
                </wp:positionV>
                <wp:extent cx="1351915" cy="339725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4805" y="361490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Média Populacional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185420</wp:posOffset>
                </wp:positionV>
                <wp:extent cx="1351915" cy="339725"/>
                <wp:effectExtent b="0" l="0" r="0" t="0"/>
                <wp:wrapSquare wrapText="bothSides" distB="45720" distT="45720" distL="114300" distR="114300"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91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Exercício 9</w:t>
      </w:r>
      <w:r w:rsidDel="00000000" w:rsidR="00000000" w:rsidRPr="00000000">
        <w:rPr>
          <w:rtl w:val="0"/>
        </w:rPr>
        <w:t xml:space="preserve">.  Qual % dos intervalos contêm a média da população (valor real)? É isso que você esperava? Por quê?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/>
        <w:drawing>
          <wp:inline distB="0" distT="0" distL="0" distR="0">
            <wp:extent cx="3514725" cy="5448300"/>
            <wp:effectExtent b="0" l="0" r="0" t="0"/>
            <wp:docPr descr="https://amerhamdan.files.wordpress.com/2012/11/tabela_z_da_normal_padronizada.jpg?w=369&amp;h=571" id="15" name="image2.jpg"/>
            <a:graphic>
              <a:graphicData uri="http://schemas.openxmlformats.org/drawingml/2006/picture">
                <pic:pic>
                  <pic:nvPicPr>
                    <pic:cNvPr descr="https://amerhamdan.files.wordpress.com/2012/11/tabela_z_da_normal_padronizada.jpg?w=369&amp;h=571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exercício 1 é baseado no capítulo 8 de Gelman e Nolan (2002).  Para uma discussão, veja as páginas 126-130.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DBA"/>
    <w:rPr>
      <w:rFonts w:ascii="Times New Roman" w:cs="Times New Roman" w:eastAsia="Calibri" w:hAnsi="Times New Roman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43D00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17B5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17B54"/>
    <w:rPr>
      <w:rFonts w:ascii="Tahoma" w:cs="Tahoma" w:eastAsia="Calibri" w:hAnsi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817B54"/>
    <w:pPr>
      <w:spacing w:after="0" w:line="240" w:lineRule="auto"/>
    </w:pPr>
    <w:rPr>
      <w:rFonts w:ascii="Times New Roman" w:cs="Times New Roman" w:eastAsia="Calibri" w:hAnsi="Times New Roma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216AF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216AF"/>
    <w:rPr>
      <w:rFonts w:ascii="Times New Roman" w:cs="Times New Roman" w:eastAsia="Calibri" w:hAnsi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216AF"/>
    <w:rPr>
      <w:vertAlign w:val="superscript"/>
    </w:rPr>
  </w:style>
  <w:style w:type="character" w:styleId="TextodoEspaoReservado">
    <w:name w:val="Placeholder Text"/>
    <w:basedOn w:val="Fontepargpadro"/>
    <w:uiPriority w:val="99"/>
    <w:semiHidden w:val="1"/>
    <w:rsid w:val="00EC7983"/>
    <w:rPr>
      <w:color w:val="808080"/>
    </w:rPr>
  </w:style>
  <w:style w:type="character" w:styleId="Hyperlink">
    <w:name w:val="Hyperlink"/>
    <w:basedOn w:val="Fontepargpadro"/>
    <w:uiPriority w:val="99"/>
    <w:unhideWhenUsed w:val="1"/>
    <w:rsid w:val="004F43E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E6E34"/>
    <w:rPr>
      <w:rFonts w:ascii="Times New Roman" w:cs="Times New Roman" w:eastAsia="Calibri" w:hAnsi="Times New Roman"/>
      <w:lang w:val="pt-BR"/>
    </w:rPr>
  </w:style>
  <w:style w:type="paragraph" w:styleId="Rodap">
    <w:name w:val="footer"/>
    <w:basedOn w:val="Normal"/>
    <w:link w:val="RodapChar"/>
    <w:uiPriority w:val="99"/>
    <w:unhideWhenUsed w:val="1"/>
    <w:rsid w:val="007E6E3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E6E34"/>
    <w:rPr>
      <w:rFonts w:ascii="Times New Roman" w:cs="Times New Roman" w:eastAsia="Calibri" w:hAnsi="Times New Roman"/>
      <w:lang w:val="pt-BR"/>
    </w:rPr>
  </w:style>
  <w:style w:type="paragraph" w:styleId="SemEspaamento">
    <w:name w:val="No Spacing"/>
    <w:uiPriority w:val="1"/>
    <w:qFormat w:val="1"/>
    <w:rsid w:val="00C13A56"/>
    <w:pPr>
      <w:spacing w:after="0" w:line="240" w:lineRule="auto"/>
    </w:pPr>
    <w:rPr>
      <w:rFonts w:ascii="Times New Roman" w:cs="Times New Roman" w:eastAsia="Calibri" w:hAnsi="Times New Roman"/>
      <w:lang w:val="pt-BR"/>
    </w:rPr>
  </w:style>
  <w:style w:type="character" w:styleId="hps" w:customStyle="1">
    <w:name w:val="hps"/>
    <w:basedOn w:val="Fontepargpadro"/>
    <w:rsid w:val="00175C5B"/>
  </w:style>
  <w:style w:type="paragraph" w:styleId="TextosemFormatao">
    <w:name w:val="Plain Text"/>
    <w:basedOn w:val="Normal"/>
    <w:link w:val="TextosemFormataoChar"/>
    <w:uiPriority w:val="99"/>
    <w:rsid w:val="00175C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175C5B"/>
    <w:rPr>
      <w:rFonts w:ascii="Consolas" w:cs="Times New Roman" w:eastAsia="Calibri" w:hAnsi="Consolas"/>
      <w:sz w:val="21"/>
      <w:szCs w:val="21"/>
    </w:rPr>
  </w:style>
  <w:style w:type="paragraph" w:styleId="equation" w:customStyle="1">
    <w:name w:val="equation"/>
    <w:basedOn w:val="Normal"/>
    <w:rsid w:val="00175C5B"/>
    <w:pPr>
      <w:keepNext w:val="1"/>
      <w:tabs>
        <w:tab w:val="left" w:pos="3600"/>
        <w:tab w:val="left" w:pos="9000"/>
      </w:tabs>
      <w:spacing w:after="120" w:before="120" w:line="240" w:lineRule="auto"/>
      <w:jc w:val="center"/>
    </w:pPr>
    <w:rPr>
      <w:rFonts w:ascii="Times" w:eastAsia="Times New Roman" w:hAnsi="Times"/>
      <w:i w:val="1"/>
      <w:lang w:val="en-US"/>
    </w:rPr>
  </w:style>
  <w:style w:type="paragraph" w:styleId="MCQList3" w:customStyle="1">
    <w:name w:val="MCQ_List3"/>
    <w:basedOn w:val="Normal"/>
    <w:rsid w:val="00175C5B"/>
    <w:pPr>
      <w:keepNext w:val="1"/>
      <w:keepLines w:val="1"/>
      <w:spacing w:after="40" w:line="240" w:lineRule="auto"/>
      <w:ind w:left="1287" w:hanging="360"/>
      <w:outlineLvl w:val="2"/>
    </w:pPr>
    <w:rPr>
      <w:rFonts w:ascii="Times" w:eastAsia="Times New Roman" w:hAnsi="Times"/>
      <w:snapToGrid w:val="0"/>
      <w:szCs w:val="20"/>
      <w:lang w:val="en-US"/>
    </w:rPr>
  </w:style>
  <w:style w:type="paragraph" w:styleId="MCQList1a" w:customStyle="1">
    <w:name w:val="MCQ_List1a"/>
    <w:basedOn w:val="Normal"/>
    <w:rsid w:val="00175C5B"/>
    <w:pPr>
      <w:tabs>
        <w:tab w:val="right" w:pos="274"/>
        <w:tab w:val="left" w:pos="702"/>
      </w:tabs>
      <w:spacing w:after="60" w:before="200" w:line="240" w:lineRule="auto"/>
      <w:ind w:left="711" w:hanging="711"/>
      <w:outlineLvl w:val="2"/>
    </w:pPr>
    <w:rPr>
      <w:rFonts w:ascii="Times" w:eastAsia="Times New Roman" w:hAnsi="Times"/>
      <w:snapToGrid w:val="0"/>
      <w:szCs w:val="24"/>
      <w:lang w:val="en-US"/>
    </w:rPr>
  </w:style>
  <w:style w:type="paragraph" w:styleId="MCQList2a" w:customStyle="1">
    <w:name w:val="MCQ_List2a"/>
    <w:basedOn w:val="Normal"/>
    <w:rsid w:val="00175C5B"/>
    <w:pPr>
      <w:keepNext w:val="1"/>
      <w:keepLines w:val="1"/>
      <w:tabs>
        <w:tab w:val="left" w:pos="1089"/>
      </w:tabs>
      <w:spacing w:after="40" w:line="240" w:lineRule="auto"/>
      <w:ind w:left="1098" w:hanging="396"/>
      <w:outlineLvl w:val="2"/>
    </w:pPr>
    <w:rPr>
      <w:rFonts w:ascii="Times" w:eastAsia="Times New Roman" w:hAnsi="Times"/>
      <w:snapToGrid w:val="0"/>
      <w:szCs w:val="20"/>
      <w:lang w:val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A14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14F1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14F18"/>
    <w:rPr>
      <w:rFonts w:ascii="Times New Roman" w:cs="Times New Roman" w:eastAsia="Calibri" w:hAnsi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14F1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14F18"/>
    <w:rPr>
      <w:rFonts w:ascii="Times New Roman" w:cs="Times New Roman" w:eastAsia="Calibri" w:hAnsi="Times New Roman"/>
      <w:b w:val="1"/>
      <w:bCs w:val="1"/>
      <w:sz w:val="20"/>
      <w:szCs w:val="20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footer" Target="footer1.xml"/><Relationship Id="rId16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A3GmaDpd6JTWSouFccgulzkDw==">CgMxLjA4AHIhMUt5djRoZkM1ZENWM3F0NjhqLUlCUURzZ2o3ZENGT01t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2023-06-28T16:37:00Z</dcterms:created>
  <dc:creator>Lorena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lpwstr>true</vt:lpwstr>
  </property>
  <property fmtid="{D5CDD505-2E9C-101B-9397-08002B2CF9AE}" pid="3" name="GrammarlyDocumentId">
    <vt:lpwstr>9def8d79c2ab1cef5236a2137c3e89bcea15c99d224045af9749a2bdc35c6c76</vt:lpwstr>
  </property>
</Properties>
</file>