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BBB3B" w14:textId="769FCDA5" w:rsidR="000F629A" w:rsidRPr="000F629A" w:rsidRDefault="000F629A" w:rsidP="000F629A">
      <w:pPr>
        <w:jc w:val="center"/>
        <w:rPr>
          <w:rFonts w:asciiTheme="majorHAnsi" w:hAnsiTheme="majorHAnsi" w:cs="Times New Roman"/>
          <w:b/>
          <w:bCs/>
        </w:rPr>
      </w:pPr>
      <w:r w:rsidRPr="000F629A">
        <w:rPr>
          <w:rFonts w:asciiTheme="majorHAnsi" w:hAnsiTheme="majorHAnsi" w:cs="Times New Roman"/>
          <w:b/>
          <w:bCs/>
        </w:rPr>
        <w:drawing>
          <wp:anchor distT="0" distB="0" distL="114300" distR="114300" simplePos="0" relativeHeight="251658240" behindDoc="0" locked="0" layoutInCell="1" allowOverlap="1" wp14:anchorId="3A2DBD90" wp14:editId="73B20974">
            <wp:simplePos x="0" y="0"/>
            <wp:positionH relativeFrom="column">
              <wp:posOffset>177165</wp:posOffset>
            </wp:positionH>
            <wp:positionV relativeFrom="paragraph">
              <wp:posOffset>-122555</wp:posOffset>
            </wp:positionV>
            <wp:extent cx="1036320" cy="993140"/>
            <wp:effectExtent l="0" t="0" r="0" b="0"/>
            <wp:wrapNone/>
            <wp:docPr id="872710489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10489" name="Imagem 1" descr="Desenho com traços pretos em fundo branc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29A">
        <w:rPr>
          <w:rFonts w:asciiTheme="majorHAnsi" w:hAnsiTheme="majorHAnsi" w:cs="Times New Roman"/>
          <w:b/>
          <w:bCs/>
        </w:rPr>
        <w:t>UNIVERSIDADE DE SÃO PAULO</w:t>
      </w:r>
    </w:p>
    <w:p w14:paraId="1919968B" w14:textId="5C6054BD" w:rsidR="000F629A" w:rsidRPr="000F629A" w:rsidRDefault="000F629A" w:rsidP="000F629A">
      <w:pPr>
        <w:jc w:val="center"/>
        <w:rPr>
          <w:rFonts w:asciiTheme="majorHAnsi" w:hAnsiTheme="majorHAnsi" w:cs="Times New Roman"/>
          <w:b/>
          <w:bCs/>
        </w:rPr>
      </w:pPr>
      <w:r w:rsidRPr="000F629A">
        <w:rPr>
          <w:rFonts w:asciiTheme="majorHAnsi" w:hAnsiTheme="majorHAnsi" w:cs="Times New Roman"/>
          <w:b/>
          <w:bCs/>
        </w:rPr>
        <w:t>FACULDADE DE DIREITO</w:t>
      </w:r>
    </w:p>
    <w:p w14:paraId="7E7426BB" w14:textId="01B1B280" w:rsidR="002D2929" w:rsidRPr="000F629A" w:rsidRDefault="000F629A" w:rsidP="000F629A">
      <w:pPr>
        <w:jc w:val="center"/>
        <w:rPr>
          <w:rFonts w:asciiTheme="majorHAnsi" w:hAnsiTheme="majorHAnsi" w:cs="Times New Roman"/>
          <w:b/>
          <w:bCs/>
        </w:rPr>
      </w:pPr>
      <w:r w:rsidRPr="000F629A">
        <w:rPr>
          <w:rFonts w:asciiTheme="majorHAnsi" w:hAnsiTheme="majorHAnsi" w:cs="Times New Roman"/>
          <w:b/>
          <w:bCs/>
        </w:rPr>
        <w:t>Departamento de Direito Processual</w:t>
      </w:r>
    </w:p>
    <w:p w14:paraId="6295324B" w14:textId="77777777" w:rsidR="000F629A" w:rsidRPr="000F629A" w:rsidRDefault="000F629A" w:rsidP="000F629A">
      <w:pPr>
        <w:jc w:val="center"/>
        <w:rPr>
          <w:rFonts w:asciiTheme="majorHAnsi" w:hAnsiTheme="majorHAnsi" w:cs="Times New Roman"/>
          <w:b/>
          <w:bCs/>
        </w:rPr>
      </w:pPr>
    </w:p>
    <w:p w14:paraId="655C2BB7" w14:textId="2738E4CB" w:rsidR="000F629A" w:rsidRPr="008A61EA" w:rsidRDefault="008A61EA" w:rsidP="000F629A">
      <w:pPr>
        <w:jc w:val="center"/>
        <w:rPr>
          <w:rFonts w:asciiTheme="majorHAnsi" w:hAnsiTheme="majorHAnsi" w:cs="Times New Roman"/>
          <w:b/>
          <w:bCs/>
        </w:rPr>
      </w:pPr>
      <w:r w:rsidRPr="008A61EA">
        <w:rPr>
          <w:b/>
          <w:bCs/>
        </w:rPr>
        <w:t>DPC 513 – TUTELA JURISDICIONAL DOS INTERESSES TRANSINDIVIDUAI</w:t>
      </w:r>
      <w:r>
        <w:rPr>
          <w:b/>
          <w:bCs/>
        </w:rPr>
        <w:t>S</w:t>
      </w:r>
    </w:p>
    <w:p w14:paraId="2EF26AA3" w14:textId="77777777" w:rsidR="000F629A" w:rsidRPr="000F629A" w:rsidRDefault="000F629A" w:rsidP="000F629A">
      <w:pPr>
        <w:jc w:val="center"/>
        <w:rPr>
          <w:rFonts w:asciiTheme="majorHAnsi" w:hAnsiTheme="majorHAnsi" w:cs="Times New Roman"/>
          <w:b/>
          <w:bCs/>
        </w:rPr>
      </w:pPr>
    </w:p>
    <w:p w14:paraId="54317B19" w14:textId="73C7AFB0" w:rsidR="000F629A" w:rsidRPr="000F629A" w:rsidRDefault="000F629A" w:rsidP="000F629A">
      <w:pPr>
        <w:shd w:val="clear" w:color="auto" w:fill="E8E8E8" w:themeFill="background2"/>
        <w:spacing w:after="0"/>
        <w:jc w:val="center"/>
        <w:rPr>
          <w:rFonts w:asciiTheme="majorHAnsi" w:hAnsiTheme="majorHAnsi" w:cs="Times New Roman"/>
          <w:b/>
          <w:bCs/>
        </w:rPr>
      </w:pPr>
      <w:r w:rsidRPr="000F629A">
        <w:rPr>
          <w:rFonts w:asciiTheme="majorHAnsi" w:hAnsiTheme="majorHAnsi" w:cs="Times New Roman"/>
          <w:b/>
          <w:bCs/>
        </w:rPr>
        <w:t>SEMINÁRIO 5: ATIVIDADE EXTRA ASSÍNCRONA</w:t>
      </w:r>
    </w:p>
    <w:p w14:paraId="34035031" w14:textId="77777777" w:rsidR="000F629A" w:rsidRPr="000F629A" w:rsidRDefault="000F629A" w:rsidP="000F629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</w:rPr>
      </w:pPr>
    </w:p>
    <w:p w14:paraId="661B0866" w14:textId="76AF1BA5" w:rsidR="000F629A" w:rsidRPr="000F629A" w:rsidRDefault="000F629A" w:rsidP="000F629A">
      <w:pPr>
        <w:shd w:val="clear" w:color="auto" w:fill="FFFFFF" w:themeFill="background1"/>
        <w:rPr>
          <w:rFonts w:asciiTheme="majorHAnsi" w:hAnsiTheme="majorHAnsi" w:cs="Times New Roman"/>
        </w:rPr>
      </w:pPr>
      <w:r w:rsidRPr="000F629A">
        <w:rPr>
          <w:rFonts w:asciiTheme="majorHAnsi" w:hAnsiTheme="majorHAnsi" w:cs="Times New Roman"/>
        </w:rPr>
        <w:t>Entrega: até 13/06/2024</w:t>
      </w:r>
      <w:r w:rsidR="008A61EA">
        <w:rPr>
          <w:rFonts w:asciiTheme="majorHAnsi" w:hAnsiTheme="majorHAnsi" w:cs="Times New Roman"/>
        </w:rPr>
        <w:t>, às 23:55</w:t>
      </w:r>
    </w:p>
    <w:p w14:paraId="2441303E" w14:textId="77777777" w:rsidR="000F629A" w:rsidRPr="000F629A" w:rsidRDefault="000F629A" w:rsidP="000F629A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629A" w:rsidRPr="000F629A" w14:paraId="1A30B5AA" w14:textId="77777777" w:rsidTr="000F629A">
        <w:tc>
          <w:tcPr>
            <w:tcW w:w="8494" w:type="dxa"/>
          </w:tcPr>
          <w:p w14:paraId="4B33B843" w14:textId="77777777" w:rsidR="000F629A" w:rsidRPr="000F629A" w:rsidRDefault="000F629A" w:rsidP="007E0D7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0F629A">
              <w:rPr>
                <w:rFonts w:asciiTheme="majorHAnsi" w:hAnsiTheme="majorHAnsi"/>
              </w:rPr>
              <w:t xml:space="preserve">Nome do Aluno: </w:t>
            </w:r>
          </w:p>
        </w:tc>
      </w:tr>
      <w:tr w:rsidR="000F629A" w:rsidRPr="000F629A" w14:paraId="336A4681" w14:textId="77777777" w:rsidTr="000F629A">
        <w:tc>
          <w:tcPr>
            <w:tcW w:w="8494" w:type="dxa"/>
          </w:tcPr>
          <w:p w14:paraId="59B5EDA2" w14:textId="77777777" w:rsidR="000F629A" w:rsidRPr="000F629A" w:rsidRDefault="000F629A" w:rsidP="007E0D7A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bCs/>
              </w:rPr>
            </w:pPr>
            <w:r w:rsidRPr="000F629A">
              <w:rPr>
                <w:rFonts w:asciiTheme="majorHAnsi" w:hAnsiTheme="majorHAnsi"/>
              </w:rPr>
              <w:t>Nº USP:</w:t>
            </w:r>
          </w:p>
        </w:tc>
      </w:tr>
    </w:tbl>
    <w:p w14:paraId="66C0B827" w14:textId="29BCCDE6" w:rsidR="000F629A" w:rsidRDefault="000F629A" w:rsidP="000F629A">
      <w:pPr>
        <w:shd w:val="clear" w:color="auto" w:fill="FFFFFF" w:themeFill="background1"/>
        <w:rPr>
          <w:rFonts w:asciiTheme="majorHAnsi" w:hAnsiTheme="majorHAnsi" w:cs="Times New Roman"/>
          <w:b/>
          <w:bCs/>
        </w:rPr>
      </w:pPr>
    </w:p>
    <w:p w14:paraId="03827AEB" w14:textId="77777777" w:rsidR="00E45D5A" w:rsidRDefault="00E45D5A" w:rsidP="000F629A">
      <w:pPr>
        <w:shd w:val="clear" w:color="auto" w:fill="FFFFFF" w:themeFill="background1"/>
        <w:rPr>
          <w:rFonts w:asciiTheme="majorHAnsi" w:hAnsiTheme="majorHAnsi" w:cs="Times New Roman"/>
          <w:b/>
          <w:bCs/>
        </w:rPr>
      </w:pPr>
    </w:p>
    <w:p w14:paraId="356DE9E0" w14:textId="4511CBA6" w:rsidR="00E45D5A" w:rsidRDefault="00E45D5A" w:rsidP="00095F72">
      <w:pPr>
        <w:shd w:val="clear" w:color="auto" w:fill="E8E8E8" w:themeFill="background2"/>
        <w:spacing w:after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PARTE </w:t>
      </w:r>
      <w:r>
        <w:rPr>
          <w:rFonts w:asciiTheme="majorHAnsi" w:hAnsiTheme="majorHAnsi" w:cs="Times New Roman"/>
          <w:b/>
          <w:bCs/>
        </w:rPr>
        <w:t>1</w:t>
      </w:r>
      <w:r>
        <w:rPr>
          <w:rFonts w:asciiTheme="majorHAnsi" w:hAnsiTheme="majorHAnsi" w:cs="Times New Roman"/>
          <w:b/>
          <w:bCs/>
        </w:rPr>
        <w:t xml:space="preserve"> – </w:t>
      </w:r>
      <w:r w:rsidR="00095F72">
        <w:rPr>
          <w:rFonts w:asciiTheme="majorHAnsi" w:hAnsiTheme="majorHAnsi" w:cs="Times New Roman"/>
          <w:b/>
          <w:bCs/>
        </w:rPr>
        <w:t>CASO PRÁTICO</w:t>
      </w:r>
    </w:p>
    <w:p w14:paraId="0AD49842" w14:textId="77777777" w:rsidR="00E45D5A" w:rsidRDefault="00E45D5A" w:rsidP="00E45D5A">
      <w:pPr>
        <w:shd w:val="clear" w:color="auto" w:fill="FFFFFF" w:themeFill="background1"/>
        <w:rPr>
          <w:rFonts w:asciiTheme="majorHAnsi" w:hAnsiTheme="majorHAnsi" w:cs="Times New Roman"/>
          <w:b/>
          <w:bCs/>
        </w:rPr>
      </w:pPr>
    </w:p>
    <w:p w14:paraId="2B39574C" w14:textId="00ECBE2D" w:rsidR="00E45D5A" w:rsidRDefault="00056BB7" w:rsidP="00E45D5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Considere o seguinte caso:</w:t>
      </w:r>
    </w:p>
    <w:p w14:paraId="18AB0582" w14:textId="77777777" w:rsidR="00056BB7" w:rsidRDefault="00056BB7" w:rsidP="00E45D5A">
      <w:pPr>
        <w:shd w:val="clear" w:color="auto" w:fill="FFFFFF" w:themeFill="background1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Borders>
          <w:top w:val="single" w:sz="4" w:space="0" w:color="074F6A" w:themeColor="accent4" w:themeShade="80"/>
          <w:left w:val="single" w:sz="4" w:space="0" w:color="074F6A" w:themeColor="accent4" w:themeShade="80"/>
          <w:bottom w:val="single" w:sz="4" w:space="0" w:color="074F6A" w:themeColor="accent4" w:themeShade="80"/>
          <w:right w:val="single" w:sz="4" w:space="0" w:color="074F6A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13FD" w:rsidRPr="002C13FD" w14:paraId="3118C5EA" w14:textId="77777777" w:rsidTr="002C13FD">
        <w:tc>
          <w:tcPr>
            <w:tcW w:w="8494" w:type="dxa"/>
          </w:tcPr>
          <w:p w14:paraId="3EDFA3CA" w14:textId="77777777" w:rsidR="002C13FD" w:rsidRDefault="002C13FD" w:rsidP="00781F65">
            <w:pPr>
              <w:shd w:val="clear" w:color="auto" w:fill="FFFFFF" w:themeFill="background1"/>
              <w:jc w:val="both"/>
            </w:pPr>
            <w:r w:rsidRPr="002C13FD">
              <w:t xml:space="preserve">O Instituto Consumerista ABCDE ajuizou ação civil pública contra a empresa ACHOCOLATADOS XYZ LTDA., sob </w:t>
            </w:r>
            <w:r w:rsidRPr="002C13FD">
              <w:t xml:space="preserve">o fundamento de que a requerida teria causado dano moral coletivo, por violação de interesses difusos dos consumidores. Narrou na inicial que a empresa ré teria colocado no mercado de consumo produto alimentício de sua fabricação contaminado pela bactéria bacillus </w:t>
            </w:r>
            <w:proofErr w:type="spellStart"/>
            <w:r w:rsidRPr="002C13FD">
              <w:t>cereus</w:t>
            </w:r>
            <w:proofErr w:type="spellEnd"/>
            <w:r w:rsidRPr="002C13FD">
              <w:t>, capaz de causar intoxicação alimentar. Asseverou que a bactéria é extremamente nociva à saúde e que a contaminação teria acontecido em razão do resfriamento inadequado do produto.</w:t>
            </w:r>
          </w:p>
          <w:p w14:paraId="2FDFA063" w14:textId="77777777" w:rsidR="002C13FD" w:rsidRPr="002C13FD" w:rsidRDefault="002C13FD" w:rsidP="00781F65">
            <w:pPr>
              <w:shd w:val="clear" w:color="auto" w:fill="FFFFFF" w:themeFill="background1"/>
              <w:jc w:val="both"/>
            </w:pPr>
          </w:p>
        </w:tc>
      </w:tr>
      <w:tr w:rsidR="002C13FD" w:rsidRPr="002C13FD" w14:paraId="681E320C" w14:textId="77777777" w:rsidTr="002C13FD">
        <w:tc>
          <w:tcPr>
            <w:tcW w:w="8494" w:type="dxa"/>
          </w:tcPr>
          <w:p w14:paraId="56DA2666" w14:textId="77777777" w:rsidR="002C13FD" w:rsidRDefault="002C13FD" w:rsidP="00781F65">
            <w:pPr>
              <w:shd w:val="clear" w:color="auto" w:fill="FFFFFF" w:themeFill="background1"/>
              <w:jc w:val="both"/>
            </w:pPr>
            <w:r w:rsidRPr="002C13FD">
              <w:t xml:space="preserve">Acrescentou que a empresa era reincidente em colocar produto impróprio no mercado de consumo, tendo em vista fatos ocorridos </w:t>
            </w:r>
            <w:r w:rsidRPr="002C13FD">
              <w:t>anteriormente</w:t>
            </w:r>
            <w:r w:rsidRPr="002C13FD">
              <w:t xml:space="preserve"> (contaminação do produto com detergente), circunstância que comprovaria a desídia na condução de suas atividades. Afirmou que análises microbiológicas internas</w:t>
            </w:r>
            <w:r w:rsidRPr="002C13FD">
              <w:t xml:space="preserve"> </w:t>
            </w:r>
            <w:r w:rsidRPr="002C13FD">
              <w:t xml:space="preserve">comprovaram a existência da bactéria em razão de um vazamento ocorrido na tubulação existente entre o esterilizador e o tanque asséptico. Concluiu, assim, que a empresa teria negligenciado em mais de uma etapa de seu ciclo interno de fabricação e de distribuição. Informou que, diante da gravidade dos fatos e da grande repercussão aos consumidores, houve determinação da Secretaria Estadual da Saúde para que a empresa realizasse </w:t>
            </w:r>
            <w:r w:rsidRPr="002C13FD">
              <w:lastRenderedPageBreak/>
              <w:t>recall dos produtos, e que os comunicados teriam sido veiculados em jornais de grande circulação, no site da empresa na internet e em mídia de rádio e de televisão de grande cobertura no Estado e em todo o território nacional, alertando os</w:t>
            </w:r>
            <w:r w:rsidRPr="002C13FD">
              <w:t xml:space="preserve"> </w:t>
            </w:r>
            <w:r w:rsidRPr="002C13FD">
              <w:t xml:space="preserve">consumidores do fato. </w:t>
            </w:r>
          </w:p>
          <w:p w14:paraId="1E6D7495" w14:textId="79E573B5" w:rsidR="002C13FD" w:rsidRPr="002C13FD" w:rsidRDefault="002C13FD" w:rsidP="00781F65">
            <w:pPr>
              <w:shd w:val="clear" w:color="auto" w:fill="FFFFFF" w:themeFill="background1"/>
              <w:jc w:val="both"/>
            </w:pPr>
          </w:p>
        </w:tc>
      </w:tr>
      <w:tr w:rsidR="002C13FD" w:rsidRPr="002C13FD" w14:paraId="7702CB2B" w14:textId="77777777" w:rsidTr="002C13FD">
        <w:tc>
          <w:tcPr>
            <w:tcW w:w="8494" w:type="dxa"/>
          </w:tcPr>
          <w:p w14:paraId="6972DFDB" w14:textId="77777777" w:rsidR="002C13FD" w:rsidRPr="002C13FD" w:rsidRDefault="002C13FD" w:rsidP="00781F65">
            <w:pPr>
              <w:shd w:val="clear" w:color="auto" w:fill="FFFFFF" w:themeFill="background1"/>
              <w:jc w:val="both"/>
            </w:pPr>
            <w:r w:rsidRPr="002C13FD">
              <w:lastRenderedPageBreak/>
              <w:t>A sentença julgou parcialmente procedente a demanda para condenar a ré a indenizar os danos causados aos consumidores individualmente considerados, a serem apurados em liquidação individual; condenar a ré a indenizar os danos morais coletivos, no valor de R$ 500.000,00 (quinhentos mil reais); condenar a ré a publicar, às suas expensas, no prazo de 30 dias a contar do trânsito em julgado, o inteiro teor da parte dispositiva da decisão, em três jornais de circulação estadual, na dimensão mínima de 20cm x 20cm, sem exclusão da edição de domingo, sob pena de pagamento de multa cominatória diária de R$ 1.000,00 (um mil reais), limitados a 60 dias</w:t>
            </w:r>
            <w:r w:rsidRPr="002C13FD">
              <w:t>.</w:t>
            </w:r>
          </w:p>
        </w:tc>
      </w:tr>
    </w:tbl>
    <w:p w14:paraId="5E2C72D4" w14:textId="77777777" w:rsidR="002C13FD" w:rsidRDefault="002C13FD" w:rsidP="00056BB7">
      <w:pPr>
        <w:shd w:val="clear" w:color="auto" w:fill="FFFFFF" w:themeFill="background1"/>
        <w:jc w:val="both"/>
      </w:pPr>
    </w:p>
    <w:p w14:paraId="7D67784D" w14:textId="1C28A41B" w:rsidR="00B4308E" w:rsidRDefault="00B4308E" w:rsidP="00056BB7">
      <w:pPr>
        <w:shd w:val="clear" w:color="auto" w:fill="FFFFFF" w:themeFill="background1"/>
        <w:jc w:val="both"/>
      </w:pPr>
      <w:r>
        <w:t>Considerando o cenário abaixo, responda:</w:t>
      </w:r>
    </w:p>
    <w:p w14:paraId="2BF2ABCA" w14:textId="77777777" w:rsidR="00B4308E" w:rsidRDefault="00B4308E" w:rsidP="00056BB7">
      <w:pPr>
        <w:shd w:val="clear" w:color="auto" w:fill="FFFFFF" w:themeFill="background1"/>
        <w:jc w:val="both"/>
      </w:pPr>
    </w:p>
    <w:p w14:paraId="790FACF0" w14:textId="148A2435" w:rsidR="00B4308E" w:rsidRDefault="00B4308E" w:rsidP="00B4308E">
      <w:pPr>
        <w:pStyle w:val="PargrafodaLista"/>
        <w:numPr>
          <w:ilvl w:val="0"/>
          <w:numId w:val="3"/>
        </w:numPr>
        <w:shd w:val="clear" w:color="auto" w:fill="FFFFFF" w:themeFill="background1"/>
        <w:jc w:val="both"/>
      </w:pPr>
      <w:r>
        <w:t xml:space="preserve">João ajuizou ação individual contra a empresa </w:t>
      </w:r>
      <w:r>
        <w:t>ACHOCOLATADOS XYZ LTDA.</w:t>
      </w:r>
      <w:r>
        <w:t xml:space="preserve"> após consumir um de seus produtos contaminados e ser hospitalizado por intoxicação. </w:t>
      </w:r>
      <w:r w:rsidR="00DD0E99">
        <w:t>Você, na posição de advogado de João, tomou conhecimento da ação coletiva supracitada antes da prolação da sentença. Quais são os caminhos possíveis para o seu cliente? Justifique qual seria a melhor estratégia em sua concepção.</w:t>
      </w:r>
    </w:p>
    <w:p w14:paraId="4CEA64CD" w14:textId="77777777" w:rsidR="00DD0E99" w:rsidRDefault="00DD0E99" w:rsidP="00DD0E99">
      <w:pPr>
        <w:pStyle w:val="PargrafodaLista"/>
        <w:shd w:val="clear" w:color="auto" w:fill="FFFFFF" w:themeFill="background1"/>
        <w:ind w:left="1080"/>
        <w:jc w:val="both"/>
      </w:pPr>
    </w:p>
    <w:p w14:paraId="7EE4A33E" w14:textId="649A8529" w:rsidR="00DD0E99" w:rsidRDefault="000E75B7" w:rsidP="00B4308E">
      <w:pPr>
        <w:pStyle w:val="PargrafodaLista"/>
        <w:numPr>
          <w:ilvl w:val="0"/>
          <w:numId w:val="3"/>
        </w:numPr>
        <w:shd w:val="clear" w:color="auto" w:fill="FFFFFF" w:themeFill="background1"/>
        <w:jc w:val="both"/>
      </w:pPr>
      <w:r>
        <w:t xml:space="preserve">Opine sobre a condenação da ACHOCOLATADOS XYZ LTDA. em dano moral coletivo, considerando o quanto debatido em sala de aula acerca da efetividade da condenação e a </w:t>
      </w:r>
      <w:r w:rsidR="00376046">
        <w:t>preferência à</w:t>
      </w:r>
      <w:r>
        <w:t xml:space="preserve"> tutela específica no direito coletivo.</w:t>
      </w:r>
    </w:p>
    <w:p w14:paraId="5BA6BE6B" w14:textId="77777777" w:rsidR="00E45D5A" w:rsidRDefault="00E45D5A" w:rsidP="000F629A">
      <w:pPr>
        <w:shd w:val="clear" w:color="auto" w:fill="FFFFFF" w:themeFill="background1"/>
        <w:rPr>
          <w:rFonts w:asciiTheme="majorHAnsi" w:hAnsiTheme="majorHAnsi" w:cs="Times New Roman"/>
          <w:b/>
          <w:bCs/>
        </w:rPr>
      </w:pPr>
    </w:p>
    <w:p w14:paraId="6B537B4C" w14:textId="0D2A9312" w:rsidR="000F629A" w:rsidRDefault="00D05EC8" w:rsidP="002C13FD">
      <w:pPr>
        <w:shd w:val="clear" w:color="auto" w:fill="E8E8E8" w:themeFill="background2"/>
        <w:spacing w:after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PARTE 2 – PROJETOS DE LEI</w:t>
      </w:r>
    </w:p>
    <w:p w14:paraId="1662BB38" w14:textId="7C2138A8" w:rsidR="003B75CF" w:rsidRDefault="003B75CF" w:rsidP="000F629A">
      <w:pPr>
        <w:shd w:val="clear" w:color="auto" w:fill="FFFFFF" w:themeFill="background1"/>
        <w:rPr>
          <w:rFonts w:asciiTheme="majorHAnsi" w:hAnsiTheme="majorHAnsi" w:cs="Times New Roman"/>
          <w:b/>
          <w:bCs/>
        </w:rPr>
      </w:pPr>
    </w:p>
    <w:p w14:paraId="642BB6B2" w14:textId="72398146" w:rsidR="00875D7B" w:rsidRDefault="003B75CF" w:rsidP="00875D7B">
      <w:pPr>
        <w:shd w:val="clear" w:color="auto" w:fill="FFFFFF" w:themeFill="background1"/>
        <w:jc w:val="both"/>
      </w:pPr>
      <w:r w:rsidRPr="003B75CF">
        <w:t>O microssistema da tutela coletiva no Brasil é regido, principalmente, pela lei da Ação Civil Pública (lei 7.347, de 24 de julho de 1985) e pela parte processual do Código de Defesa do Consumidor (lei 8.078, de 11 de setembro de 1990</w:t>
      </w:r>
      <w:r>
        <w:t xml:space="preserve">). Como vimos em aula, muitas outras leis compõem esse sistema </w:t>
      </w:r>
      <w:r w:rsidRPr="003B75CF">
        <w:t xml:space="preserve">(e.g., lei da Ação Popular, Estatuto do Idoso, Estatuto da Criança e do </w:t>
      </w:r>
      <w:proofErr w:type="gramStart"/>
      <w:r w:rsidRPr="003B75CF">
        <w:t>Adolescente</w:t>
      </w:r>
      <w:r w:rsidR="00875D7B">
        <w:t xml:space="preserve">, </w:t>
      </w:r>
      <w:proofErr w:type="spellStart"/>
      <w:r w:rsidR="00875D7B">
        <w:t>etc</w:t>
      </w:r>
      <w:proofErr w:type="spellEnd"/>
      <w:proofErr w:type="gramEnd"/>
      <w:r w:rsidR="00875D7B">
        <w:t>).</w:t>
      </w:r>
    </w:p>
    <w:p w14:paraId="4121B657" w14:textId="5A3EC762" w:rsidR="003B75CF" w:rsidRDefault="00875D7B" w:rsidP="00875D7B">
      <w:pPr>
        <w:shd w:val="clear" w:color="auto" w:fill="FFFFFF" w:themeFill="background1"/>
        <w:jc w:val="both"/>
      </w:pPr>
      <w:r>
        <w:t xml:space="preserve">O debate de </w:t>
      </w:r>
      <w:r w:rsidR="003B75CF" w:rsidRPr="003B75CF">
        <w:t xml:space="preserve">aprimoramento do regramento dos processos coletivos no Brasil já é pauta há mais de uma década, o que se verifica não apenas pelas alterações da lei da Ação Civil Pública, mas também pelo Anteprojeto do que seria o Código </w:t>
      </w:r>
      <w:r w:rsidR="003B75CF" w:rsidRPr="003B75CF">
        <w:lastRenderedPageBreak/>
        <w:t>Brasileiro de Processos Coletivos, apresentado em 2002 e retomado em 2009 como projeto de lei 5.139/2009, que pretendia, entre outros objetivos, a ampliação da legitimidade ativa para as ações coletivas, flexibilização dos procedimentos e dar maior eficácia à tutela jurisdicional.</w:t>
      </w:r>
    </w:p>
    <w:p w14:paraId="68C40CE2" w14:textId="37A95F05" w:rsidR="003B75CF" w:rsidRPr="003B75CF" w:rsidRDefault="00875D7B" w:rsidP="00875D7B">
      <w:pPr>
        <w:shd w:val="clear" w:color="auto" w:fill="FFFFFF" w:themeFill="background1"/>
        <w:jc w:val="both"/>
      </w:pPr>
      <w:r>
        <w:t>Atualmente, estão em trâmite os</w:t>
      </w:r>
      <w:r w:rsidR="003B75CF">
        <w:rPr>
          <w:rFonts w:asciiTheme="majorHAnsi" w:hAnsiTheme="majorHAnsi" w:cs="Times New Roman"/>
        </w:rPr>
        <w:t xml:space="preserve"> seguintes projetos de lei (</w:t>
      </w:r>
      <w:proofErr w:type="spellStart"/>
      <w:r w:rsidR="003B75CF">
        <w:rPr>
          <w:rFonts w:asciiTheme="majorHAnsi" w:hAnsiTheme="majorHAnsi" w:cs="Times New Roman"/>
        </w:rPr>
        <w:t>PLs</w:t>
      </w:r>
      <w:proofErr w:type="spellEnd"/>
      <w:r w:rsidR="003B75CF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 xml:space="preserve"> no legislativo Brasileiro:</w:t>
      </w:r>
    </w:p>
    <w:p w14:paraId="616EEED1" w14:textId="77777777" w:rsidR="00D05EC8" w:rsidRDefault="00D05EC8" w:rsidP="00875D7B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</w:pPr>
      <w:r>
        <w:t xml:space="preserve">PL 4.441/20: apresentação em 02/09/2020; autor: Paulo Teixeira (PT-SP); situação atual: aguardando Parecer do Relator na Comissão de Constituição e Justiça e de Cidadania (CCJC); </w:t>
      </w:r>
    </w:p>
    <w:p w14:paraId="11D1D35D" w14:textId="77777777" w:rsidR="00D05EC8" w:rsidRDefault="00D05EC8" w:rsidP="00875D7B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</w:pPr>
      <w:r>
        <w:t xml:space="preserve">PL 4.778/20: apresentação em 01/10/2020; autor: Marcos Pereira (Republicanos - SP); e situação atual: apensado ao PL 4.441/20; </w:t>
      </w:r>
    </w:p>
    <w:p w14:paraId="2FC8BF4E" w14:textId="643C9AF5" w:rsidR="00D05EC8" w:rsidRPr="00875D7B" w:rsidRDefault="00D05EC8" w:rsidP="00875D7B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 w:cs="Times New Roman"/>
          <w:b/>
          <w:bCs/>
        </w:rPr>
      </w:pPr>
      <w:r>
        <w:t>PL 1641/21: apresentação em 29/04/2021; autor: Paulo Teixeira (PT-SP); situação atual: apensado ao PL 4.441/20</w:t>
      </w:r>
    </w:p>
    <w:p w14:paraId="5BE0EFC8" w14:textId="77777777" w:rsidR="00D05EC8" w:rsidRDefault="00D05EC8" w:rsidP="00875D7B">
      <w:pPr>
        <w:shd w:val="clear" w:color="auto" w:fill="FFFFFF" w:themeFill="background1"/>
        <w:jc w:val="both"/>
      </w:pPr>
    </w:p>
    <w:p w14:paraId="185A49C6" w14:textId="54EB2286" w:rsidR="00022161" w:rsidRDefault="00022161" w:rsidP="00875D7B">
      <w:pPr>
        <w:shd w:val="clear" w:color="auto" w:fill="FFFFFF" w:themeFill="background1"/>
        <w:jc w:val="both"/>
      </w:pPr>
      <w:r>
        <w:t xml:space="preserve">Esses </w:t>
      </w:r>
      <w:proofErr w:type="spellStart"/>
      <w:r>
        <w:t>PLs</w:t>
      </w:r>
      <w:proofErr w:type="spellEnd"/>
      <w:r>
        <w:t xml:space="preserve"> foram apresentados em diferentes momentos, por distintos atores e com, muitas vezes, perspectivas diversas sobre o processo coletivo - tanto em suas previsões, como também justificativas -, o que deflagrou muitos questionamentos, especialmente sobre os efeitos potenciais que essas propostas legislativas carregam com suas disposições</w:t>
      </w:r>
      <w:r w:rsidR="00875D7B">
        <w:rPr>
          <w:rStyle w:val="Refdenotaderodap"/>
        </w:rPr>
        <w:footnoteReference w:id="1"/>
      </w:r>
      <w:r>
        <w:t>.</w:t>
      </w:r>
    </w:p>
    <w:p w14:paraId="321726E6" w14:textId="41323BD0" w:rsidR="00E45D5A" w:rsidRDefault="00E45D5A" w:rsidP="00875D7B">
      <w:pPr>
        <w:shd w:val="clear" w:color="auto" w:fill="FFFFFF" w:themeFill="background1"/>
        <w:jc w:val="both"/>
      </w:pPr>
      <w:r>
        <w:t>Nesse sentido, considerando as disposições acerca da destinação das indenizações, responda:</w:t>
      </w:r>
    </w:p>
    <w:p w14:paraId="0F1CD969" w14:textId="77777777" w:rsidR="00281A41" w:rsidRDefault="00281A41" w:rsidP="00875D7B">
      <w:pPr>
        <w:shd w:val="clear" w:color="auto" w:fill="FFFFFF" w:themeFill="background1"/>
        <w:jc w:val="both"/>
      </w:pPr>
    </w:p>
    <w:p w14:paraId="4C9403AD" w14:textId="22AE63D6" w:rsidR="00E45D5A" w:rsidRPr="00E45D5A" w:rsidRDefault="00E45D5A" w:rsidP="00E45D5A">
      <w:pPr>
        <w:pStyle w:val="Pargrafoda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>Quais são os pontos em comum nos três projetos quanto à viabilização da indenização individualizada?</w:t>
      </w:r>
    </w:p>
    <w:p w14:paraId="05205210" w14:textId="77777777" w:rsidR="00E45D5A" w:rsidRPr="00E45D5A" w:rsidRDefault="00E45D5A" w:rsidP="00E45D5A">
      <w:pPr>
        <w:shd w:val="clear" w:color="auto" w:fill="FFFFFF" w:themeFill="background1"/>
        <w:jc w:val="both"/>
        <w:rPr>
          <w:rFonts w:asciiTheme="majorHAnsi" w:hAnsiTheme="majorHAnsi" w:cs="Times New Roman"/>
          <w:b/>
          <w:bCs/>
        </w:rPr>
      </w:pPr>
    </w:p>
    <w:p w14:paraId="76CD3FAF" w14:textId="765AE2FF" w:rsidR="00E45D5A" w:rsidRPr="00E45D5A" w:rsidRDefault="00E45D5A" w:rsidP="00E45D5A">
      <w:pPr>
        <w:pStyle w:val="Pargrafoda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>Como você considera a abordagem da participação das vítimas na gestão dos fundos e da cientificação dos possíveis beneficiados com a sentença?</w:t>
      </w:r>
    </w:p>
    <w:p w14:paraId="6C83B813" w14:textId="77777777" w:rsidR="00E45D5A" w:rsidRPr="00E45D5A" w:rsidRDefault="00E45D5A" w:rsidP="00E45D5A">
      <w:pPr>
        <w:pStyle w:val="PargrafodaLista"/>
        <w:rPr>
          <w:rFonts w:asciiTheme="majorHAnsi" w:hAnsiTheme="majorHAnsi" w:cs="Times New Roman"/>
          <w:b/>
          <w:bCs/>
        </w:rPr>
      </w:pPr>
    </w:p>
    <w:p w14:paraId="24D8C8D2" w14:textId="77777777" w:rsidR="00E45D5A" w:rsidRPr="00E45D5A" w:rsidRDefault="00E45D5A" w:rsidP="00E45D5A">
      <w:pPr>
        <w:pStyle w:val="PargrafodaLista"/>
        <w:rPr>
          <w:rFonts w:asciiTheme="majorHAnsi" w:hAnsiTheme="majorHAnsi" w:cs="Times New Roman"/>
          <w:b/>
          <w:bCs/>
        </w:rPr>
      </w:pPr>
    </w:p>
    <w:p w14:paraId="3940AE07" w14:textId="29385B4B" w:rsidR="00E45D5A" w:rsidRPr="00E45D5A" w:rsidRDefault="00E45D5A" w:rsidP="00E45D5A">
      <w:pPr>
        <w:pStyle w:val="Pargrafoda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>Na matéria da reparação fluida (</w:t>
      </w:r>
      <w:proofErr w:type="spellStart"/>
      <w:r>
        <w:rPr>
          <w:rFonts w:asciiTheme="majorHAnsi" w:hAnsiTheme="majorHAnsi" w:cs="Times New Roman"/>
          <w:i/>
          <w:iCs/>
        </w:rPr>
        <w:t>fluid</w:t>
      </w:r>
      <w:proofErr w:type="spellEnd"/>
      <w:r>
        <w:rPr>
          <w:rFonts w:asciiTheme="majorHAnsi" w:hAnsiTheme="majorHAnsi" w:cs="Times New Roman"/>
          <w:i/>
          <w:iCs/>
        </w:rPr>
        <w:t xml:space="preserve"> </w:t>
      </w:r>
      <w:proofErr w:type="spellStart"/>
      <w:r>
        <w:rPr>
          <w:rFonts w:asciiTheme="majorHAnsi" w:hAnsiTheme="majorHAnsi" w:cs="Times New Roman"/>
          <w:i/>
          <w:iCs/>
        </w:rPr>
        <w:t>recovery</w:t>
      </w:r>
      <w:proofErr w:type="spellEnd"/>
      <w:r>
        <w:rPr>
          <w:rFonts w:asciiTheme="majorHAnsi" w:hAnsiTheme="majorHAnsi" w:cs="Times New Roman"/>
        </w:rPr>
        <w:t xml:space="preserve">), qual é a solução endereçada por cada um dos </w:t>
      </w:r>
      <w:proofErr w:type="spellStart"/>
      <w:r>
        <w:rPr>
          <w:rFonts w:asciiTheme="majorHAnsi" w:hAnsiTheme="majorHAnsi" w:cs="Times New Roman"/>
        </w:rPr>
        <w:t>PLs</w:t>
      </w:r>
      <w:proofErr w:type="spellEnd"/>
      <w:r>
        <w:rPr>
          <w:rFonts w:asciiTheme="majorHAnsi" w:hAnsiTheme="majorHAnsi" w:cs="Times New Roman"/>
        </w:rPr>
        <w:t xml:space="preserve">? Analise criticamente a distinção entre cada um deles e o atual sistema. </w:t>
      </w:r>
    </w:p>
    <w:sectPr w:rsidR="00E45D5A" w:rsidRPr="00E45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48A55" w14:textId="77777777" w:rsidR="00D312D7" w:rsidRDefault="00D312D7" w:rsidP="00875D7B">
      <w:pPr>
        <w:spacing w:after="0" w:line="240" w:lineRule="auto"/>
      </w:pPr>
      <w:r>
        <w:separator/>
      </w:r>
    </w:p>
  </w:endnote>
  <w:endnote w:type="continuationSeparator" w:id="0">
    <w:p w14:paraId="496B60C8" w14:textId="77777777" w:rsidR="00D312D7" w:rsidRDefault="00D312D7" w:rsidP="0087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AF9C3" w14:textId="77777777" w:rsidR="00D312D7" w:rsidRDefault="00D312D7" w:rsidP="00875D7B">
      <w:pPr>
        <w:spacing w:after="0" w:line="240" w:lineRule="auto"/>
      </w:pPr>
      <w:r>
        <w:separator/>
      </w:r>
    </w:p>
  </w:footnote>
  <w:footnote w:type="continuationSeparator" w:id="0">
    <w:p w14:paraId="702021B6" w14:textId="77777777" w:rsidR="00D312D7" w:rsidRDefault="00D312D7" w:rsidP="00875D7B">
      <w:pPr>
        <w:spacing w:after="0" w:line="240" w:lineRule="auto"/>
      </w:pPr>
      <w:r>
        <w:continuationSeparator/>
      </w:r>
    </w:p>
  </w:footnote>
  <w:footnote w:id="1">
    <w:p w14:paraId="5B98455F" w14:textId="479FFB75" w:rsidR="00875D7B" w:rsidRDefault="00875D7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AB415A">
          <w:rPr>
            <w:rStyle w:val="Hyperlink"/>
          </w:rPr>
          <w:t>https://direitosp.fgv.br/sites/default/files/arquivos/acesso-a-justica-e-tutela-coletiva_analise-pls_capa-final.pdf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30B44"/>
    <w:multiLevelType w:val="hybridMultilevel"/>
    <w:tmpl w:val="CFFC6CD8"/>
    <w:lvl w:ilvl="0" w:tplc="116E0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41CA"/>
    <w:multiLevelType w:val="hybridMultilevel"/>
    <w:tmpl w:val="CAE44B36"/>
    <w:lvl w:ilvl="0" w:tplc="F1B4209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1216"/>
    <w:multiLevelType w:val="hybridMultilevel"/>
    <w:tmpl w:val="F698E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9944">
    <w:abstractNumId w:val="2"/>
  </w:num>
  <w:num w:numId="2" w16cid:durableId="2092388693">
    <w:abstractNumId w:val="1"/>
  </w:num>
  <w:num w:numId="3" w16cid:durableId="181170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9A"/>
    <w:rsid w:val="00022161"/>
    <w:rsid w:val="00056BB7"/>
    <w:rsid w:val="00071F7A"/>
    <w:rsid w:val="00095F72"/>
    <w:rsid w:val="000E75B7"/>
    <w:rsid w:val="000F629A"/>
    <w:rsid w:val="00281A41"/>
    <w:rsid w:val="002C13FD"/>
    <w:rsid w:val="002D2929"/>
    <w:rsid w:val="00376046"/>
    <w:rsid w:val="003B75CF"/>
    <w:rsid w:val="00865413"/>
    <w:rsid w:val="00875D7B"/>
    <w:rsid w:val="008A61EA"/>
    <w:rsid w:val="00B4308E"/>
    <w:rsid w:val="00D05EC8"/>
    <w:rsid w:val="00D312D7"/>
    <w:rsid w:val="00DD0E99"/>
    <w:rsid w:val="00E45D5A"/>
    <w:rsid w:val="00F00E24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B2F"/>
  <w15:chartTrackingRefBased/>
  <w15:docId w15:val="{F6DDF9DF-DE92-4C32-B1E0-933DBB9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6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2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6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62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6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62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62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2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629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629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29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29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29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629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F6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F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6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F6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F6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F629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F629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F629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62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629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F629A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0F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5D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D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5D7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5D7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reitosp.fgv.br/sites/default/files/arquivos/acesso-a-justica-e-tutela-coletiva_analise-pls_capa-fin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Maria Scorza dos Ramos | GUEDES NUNES</dc:creator>
  <cp:keywords/>
  <dc:description/>
  <cp:lastModifiedBy>Andressa Maria Scorza dos Ramos | GUEDES NUNES</cp:lastModifiedBy>
  <cp:revision>9</cp:revision>
  <dcterms:created xsi:type="dcterms:W3CDTF">2024-06-05T18:45:00Z</dcterms:created>
  <dcterms:modified xsi:type="dcterms:W3CDTF">2024-06-06T15:17:00Z</dcterms:modified>
</cp:coreProperties>
</file>