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72879" w14:textId="77777777" w:rsidR="00D85432" w:rsidRDefault="00D854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BC87231" w14:textId="77777777" w:rsidR="00D85432" w:rsidRDefault="00D85432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23D1792D" w14:textId="0BFA64F9" w:rsidR="00D85432" w:rsidRDefault="00000000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CASO </w:t>
      </w:r>
    </w:p>
    <w:p w14:paraId="36226FBE" w14:textId="77777777" w:rsidR="00D85432" w:rsidRDefault="00D85432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62258EEF" w14:textId="77777777" w:rsidR="00D8543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J.F.S, mulher </w:t>
      </w:r>
      <w:proofErr w:type="spellStart"/>
      <w:r>
        <w:rPr>
          <w:rFonts w:ascii="Arial" w:eastAsia="Arial" w:hAnsi="Arial" w:cs="Arial"/>
          <w:sz w:val="22"/>
          <w:szCs w:val="22"/>
        </w:rPr>
        <w:t>cisgênera</w:t>
      </w:r>
      <w:proofErr w:type="spellEnd"/>
      <w:r>
        <w:rPr>
          <w:rFonts w:ascii="Arial" w:eastAsia="Arial" w:hAnsi="Arial" w:cs="Arial"/>
          <w:sz w:val="22"/>
          <w:szCs w:val="22"/>
        </w:rPr>
        <w:t>, 69 anos, preta. Hipertensa, faz uso de losartana, hidroclorotiazida e anlodipino. Deu entrada na unidade de emergência do HU-USP com lesões máculas-eritematosas em face, pescoço, tronco, membros superiores e dorso, além de acometimento de mucosa ocular e oral.</w:t>
      </w:r>
    </w:p>
    <w:p w14:paraId="55E94888" w14:textId="77777777" w:rsidR="00D85432" w:rsidRDefault="00000000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1EBC615E" wp14:editId="3BF00CEB">
            <wp:extent cx="5612130" cy="2501265"/>
            <wp:effectExtent l="0" t="0" r="0" b="0"/>
            <wp:docPr id="43015" name="image2.png" descr="Interface gráfica do usuário, Sit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nterface gráfica do usuário, Site&#10;&#10;Descrição gerada automaticamente"/>
                    <pic:cNvPicPr preferRelativeResize="0"/>
                  </pic:nvPicPr>
                  <pic:blipFill>
                    <a:blip r:embed="rId7"/>
                    <a:srcRect l="26374" t="16743" r="26374" b="4469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1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905DD9" w14:textId="77777777" w:rsidR="00D8543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Relatou ter feito uso dos antibióticos ceftriaxona, azitromicina, amoxicilina e do </w:t>
      </w:r>
      <w:proofErr w:type="spellStart"/>
      <w:r>
        <w:rPr>
          <w:rFonts w:ascii="Arial" w:eastAsia="Arial" w:hAnsi="Arial" w:cs="Arial"/>
          <w:sz w:val="22"/>
          <w:szCs w:val="22"/>
        </w:rPr>
        <w:t>antiinflamatório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nimesulida </w:t>
      </w:r>
      <w:r>
        <w:rPr>
          <w:rFonts w:ascii="Arial" w:eastAsia="Arial" w:hAnsi="Arial" w:cs="Arial"/>
          <w:sz w:val="22"/>
          <w:szCs w:val="22"/>
          <w:u w:val="single"/>
        </w:rPr>
        <w:t>duas semanas anteriores</w:t>
      </w:r>
      <w:r>
        <w:rPr>
          <w:rFonts w:ascii="Arial" w:eastAsia="Arial" w:hAnsi="Arial" w:cs="Arial"/>
          <w:sz w:val="22"/>
          <w:szCs w:val="22"/>
        </w:rPr>
        <w:t xml:space="preserve"> para tratamento de amigdalite e que, </w:t>
      </w:r>
      <w:r>
        <w:rPr>
          <w:rFonts w:ascii="Arial" w:eastAsia="Arial" w:hAnsi="Arial" w:cs="Arial"/>
          <w:sz w:val="22"/>
          <w:szCs w:val="22"/>
          <w:u w:val="single"/>
        </w:rPr>
        <w:t>quatro dias anteriores</w:t>
      </w:r>
      <w:r>
        <w:rPr>
          <w:rFonts w:ascii="Arial" w:eastAsia="Arial" w:hAnsi="Arial" w:cs="Arial"/>
          <w:sz w:val="22"/>
          <w:szCs w:val="22"/>
        </w:rPr>
        <w:t xml:space="preserve">, quando estava febril, fez uso do analgésico dipirona de 500 miligramas, 1 comprimido de 6 em 6 horas, via oral. </w:t>
      </w:r>
    </w:p>
    <w:p w14:paraId="4A6D42DF" w14:textId="77777777" w:rsidR="00D85432" w:rsidRDefault="00D85432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5CAB345C" w14:textId="77777777" w:rsidR="00D8543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Dois dias após o início do uso da dipirona, iniciou-se um quadro de edema em face, com lesões erosivas nos lábios, que se agravaram dia seguinte, estendendo-se para toda a face. Paciente foi diagnosticada com Síndrome de Stevens-Johnson (SSJ). Paciente alegou nunca ter apresentado quadro parecido e negou histórico de reação alérgica. </w:t>
      </w:r>
    </w:p>
    <w:p w14:paraId="2F0494F9" w14:textId="77777777" w:rsidR="00D85432" w:rsidRDefault="00D85432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5DD3EF58" w14:textId="77777777" w:rsidR="00D8543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Foi suspenso o uso da dipirona - pois se suspeitou que pudesse ser o medicamento o causador da SSJ – bem como o uso dos anti-hipertensivos. </w:t>
      </w:r>
    </w:p>
    <w:p w14:paraId="2691E979" w14:textId="77777777" w:rsidR="00D85432" w:rsidRDefault="00D85432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46B68D04" w14:textId="77777777" w:rsidR="00D8543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Iniciou-se então, o tratamento com a prescrição sistêmica de prednisona 80 mg/dia via oral. Para aplicação nas lesões, foi prescrito uso tópico de </w:t>
      </w:r>
      <w:proofErr w:type="spellStart"/>
      <w:r>
        <w:rPr>
          <w:rFonts w:ascii="Arial" w:eastAsia="Arial" w:hAnsi="Arial" w:cs="Arial"/>
          <w:sz w:val="22"/>
          <w:szCs w:val="22"/>
        </w:rPr>
        <w:t>sulfadiazina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prata 10 mg/g associada à dexametasona 1 mg/g, aplicada duas vezes ao dia.</w:t>
      </w:r>
    </w:p>
    <w:p w14:paraId="644CA5EC" w14:textId="77777777" w:rsidR="00D85432" w:rsidRDefault="00D85432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6B8635E9" w14:textId="77777777" w:rsidR="00D8543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 terceiro dia de internação, a paciente teve piora do quadro clínico, com significativo aumento das lesões, aumento da área de destacamento de pele em face e pescoço. A equipe de saúde constatou também severidade no acometimento da mucosa oral e ocular, com lesões erosivas na língua, lesões crostosas recobertas por pequenos pontos de sangramento nos lábios e </w:t>
      </w:r>
      <w:proofErr w:type="spellStart"/>
      <w:r>
        <w:rPr>
          <w:rFonts w:ascii="Arial" w:eastAsia="Arial" w:hAnsi="Arial" w:cs="Arial"/>
          <w:sz w:val="22"/>
          <w:szCs w:val="22"/>
        </w:rPr>
        <w:t>sinéquia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conjuntival em ambos os olhos.</w:t>
      </w:r>
    </w:p>
    <w:p w14:paraId="16CF0A0F" w14:textId="77777777" w:rsidR="00D85432" w:rsidRDefault="00D85432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1FC18FD5" w14:textId="77777777" w:rsidR="00D85432" w:rsidRDefault="00000000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032C6EF0" wp14:editId="5AA89F50">
            <wp:extent cx="5612130" cy="2071370"/>
            <wp:effectExtent l="0" t="0" r="0" b="0"/>
            <wp:docPr id="43016" name="image2.png" descr="Interface gráfica do usuário, Sit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nterface gráfica do usuário, Site&#10;&#10;Descrição gerada automaticamente"/>
                    <pic:cNvPicPr preferRelativeResize="0"/>
                  </pic:nvPicPr>
                  <pic:blipFill>
                    <a:blip r:embed="rId7"/>
                    <a:srcRect l="26374" t="56799" r="26374" b="1218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71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B7A290" w14:textId="77777777" w:rsidR="00D85432" w:rsidRDefault="00D85432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22E45365" w14:textId="77777777" w:rsidR="00D8543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paciente foi submetida a intubação endotraqueal (IOT) e diante da gravidade do caso, necessitou de internação em uma Unidade de Terapia Intensiva (UTI). Manteve-se sedada e em ventilação mecânica. </w:t>
      </w:r>
    </w:p>
    <w:p w14:paraId="2C5FFE71" w14:textId="77777777" w:rsidR="00D85432" w:rsidRDefault="00D85432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79B10A17" w14:textId="77777777" w:rsidR="00D8543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 terceiro dia de internação em UTI, a paciente apresentou grave quadro clínico, com pico febril (40,2ºC), piora das lesões cutâneas com aumento da área de destacamento de pele </w:t>
      </w:r>
      <w:r>
        <w:rPr>
          <w:rFonts w:ascii="Arial" w:eastAsia="Arial" w:hAnsi="Arial" w:cs="Arial"/>
          <w:sz w:val="22"/>
          <w:szCs w:val="22"/>
        </w:rPr>
        <w:lastRenderedPageBreak/>
        <w:t xml:space="preserve">em face, pescoço, todo o tronco e abdômen, em membros superiores e por todo o dorso, tendo mais de 30% do corpo com destacamento de pele. </w:t>
      </w:r>
    </w:p>
    <w:p w14:paraId="17DD1AC8" w14:textId="77777777" w:rsidR="00D85432" w:rsidRDefault="00D85432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1859190A" w14:textId="77777777" w:rsidR="00D8543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Foi então diagnosticada a evolução do quadro para </w:t>
      </w:r>
      <w:proofErr w:type="spellStart"/>
      <w:r>
        <w:rPr>
          <w:rFonts w:ascii="Arial" w:eastAsia="Arial" w:hAnsi="Arial" w:cs="Arial"/>
          <w:sz w:val="22"/>
          <w:szCs w:val="22"/>
        </w:rPr>
        <w:t>Necrólise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Epidérmica Tóxica (NET). Foi iniciado uso de anticorpos imunoglobulina humana 0,4 g/kg/dia para o tratamento da SSJ/NET.</w:t>
      </w:r>
    </w:p>
    <w:p w14:paraId="2D2258D2" w14:textId="77777777" w:rsidR="00D85432" w:rsidRDefault="00D85432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19B62F02" w14:textId="77777777" w:rsidR="00D85432" w:rsidRDefault="00000000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Após 5 dias de uso de imunoglobulina humana e com 6 dias de uso de </w:t>
      </w:r>
      <w:proofErr w:type="spellStart"/>
      <w:r>
        <w:rPr>
          <w:rFonts w:ascii="Arial" w:eastAsia="Arial" w:hAnsi="Arial" w:cs="Arial"/>
          <w:sz w:val="22"/>
          <w:szCs w:val="22"/>
        </w:rPr>
        <w:t>cefepima</w:t>
      </w:r>
      <w:proofErr w:type="spellEnd"/>
      <w:r>
        <w:rPr>
          <w:rFonts w:ascii="Arial" w:eastAsia="Arial" w:hAnsi="Arial" w:cs="Arial"/>
          <w:sz w:val="22"/>
          <w:szCs w:val="22"/>
        </w:rPr>
        <w:t>, portanto, no sétimo dia de internação hospitalar, a paciente apresentou melhora evolutiva significativa das lesões na pele e também melhora do quadro respiratório.</w:t>
      </w:r>
    </w:p>
    <w:p w14:paraId="7D361479" w14:textId="77777777" w:rsidR="00D85432" w:rsidRDefault="00D854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sectPr w:rsidR="00D85432">
      <w:headerReference w:type="default" r:id="rId8"/>
      <w:footerReference w:type="default" r:id="rId9"/>
      <w:pgSz w:w="12240" w:h="15840"/>
      <w:pgMar w:top="1417" w:right="1701" w:bottom="1417" w:left="1701" w:header="72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87FFB" w14:textId="77777777" w:rsidR="00B52A66" w:rsidRDefault="00B52A66">
      <w:r>
        <w:separator/>
      </w:r>
    </w:p>
  </w:endnote>
  <w:endnote w:type="continuationSeparator" w:id="0">
    <w:p w14:paraId="0BDC15AE" w14:textId="77777777" w:rsidR="00B52A66" w:rsidRDefault="00B52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D6FF904-B0D2-4135-894A-7C0E0806A2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E19BAB-B653-44A2-82FA-BE75BD3ECC85}"/>
    <w:embedBold r:id="rId3" w:fontKey="{10C462D0-F614-4CDD-AE40-298629E36A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2B40005-5169-4984-B60C-190886DEF590}"/>
    <w:embedItalic r:id="rId5" w:fontKey="{AFB68255-073A-48BE-9518-7D1E6831D6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auto"/>
    <w:pitch w:val="default"/>
    <w:embedRegular r:id="rId6" w:fontKey="{8EC8A102-24D0-4124-AACE-7B47138B9A9F}"/>
    <w:embedBold r:id="rId7" w:fontKey="{F09D1874-7A10-48D1-A285-0C81B85FDA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583C4A1-4E5D-4CE4-AE15-95D28A76B4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49CA6" w14:textId="77777777" w:rsidR="00D85432" w:rsidRDefault="00D854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396AB3" w14:textId="77777777" w:rsidR="00B52A66" w:rsidRDefault="00B52A66">
      <w:r>
        <w:separator/>
      </w:r>
    </w:p>
  </w:footnote>
  <w:footnote w:type="continuationSeparator" w:id="0">
    <w:p w14:paraId="2D9618F0" w14:textId="77777777" w:rsidR="00B52A66" w:rsidRDefault="00B52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18068" w14:textId="77777777" w:rsidR="00D85432" w:rsidRDefault="00D8543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1"/>
      <w:tblW w:w="8717" w:type="dxa"/>
      <w:tblInd w:w="-70" w:type="dxa"/>
      <w:tblLayout w:type="fixed"/>
      <w:tblLook w:val="0000" w:firstRow="0" w:lastRow="0" w:firstColumn="0" w:lastColumn="0" w:noHBand="0" w:noVBand="0"/>
    </w:tblPr>
    <w:tblGrid>
      <w:gridCol w:w="2055"/>
      <w:gridCol w:w="6662"/>
    </w:tblGrid>
    <w:tr w:rsidR="00D85432" w14:paraId="4C159371" w14:textId="77777777">
      <w:trPr>
        <w:trHeight w:val="1843"/>
      </w:trPr>
      <w:tc>
        <w:tcPr>
          <w:tcW w:w="2055" w:type="dxa"/>
        </w:tcPr>
        <w:p w14:paraId="38481EFA" w14:textId="77777777" w:rsidR="00D85432" w:rsidRDefault="00000000">
          <w:pPr>
            <w:ind w:right="72"/>
            <w:rPr>
              <w:color w:val="0000FF"/>
            </w:rPr>
          </w:pPr>
          <w:r>
            <w:rPr>
              <w:rFonts w:ascii="CG Times" w:eastAsia="CG Times" w:hAnsi="CG Times" w:cs="CG Times"/>
              <w:b/>
              <w:color w:val="0000FF"/>
              <w:sz w:val="44"/>
              <w:szCs w:val="44"/>
            </w:rPr>
            <w:object w:dxaOrig="2265" w:dyaOrig="2135" w14:anchorId="5DBBBC0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2.4pt;height:102.6pt" fillcolor="window">
                <v:imagedata r:id="rId1" o:title=""/>
              </v:shape>
              <o:OLEObject Type="Embed" ProgID="MSDraw" ShapeID="_x0000_i1025" DrawAspect="Content" ObjectID="_1779178829" r:id="rId2"/>
            </w:object>
          </w:r>
        </w:p>
      </w:tc>
      <w:tc>
        <w:tcPr>
          <w:tcW w:w="6662" w:type="dxa"/>
        </w:tcPr>
        <w:p w14:paraId="41D926C6" w14:textId="77777777" w:rsidR="00D85432" w:rsidRDefault="00D85432">
          <w:pPr>
            <w:rPr>
              <w:rFonts w:ascii="Arial" w:eastAsia="Arial" w:hAnsi="Arial" w:cs="Arial"/>
              <w:b/>
              <w:color w:val="0000FF"/>
            </w:rPr>
          </w:pPr>
        </w:p>
        <w:p w14:paraId="42B15E7C" w14:textId="77777777" w:rsidR="00D85432" w:rsidRDefault="00000000">
          <w:pPr>
            <w:jc w:val="center"/>
            <w:rPr>
              <w:rFonts w:ascii="Arial" w:eastAsia="Arial" w:hAnsi="Arial" w:cs="Arial"/>
              <w:b/>
              <w:color w:val="0000FF"/>
            </w:rPr>
          </w:pPr>
          <w:r>
            <w:rPr>
              <w:rFonts w:ascii="Arial" w:eastAsia="Arial" w:hAnsi="Arial" w:cs="Arial"/>
              <w:b/>
              <w:color w:val="0000FF"/>
              <w:sz w:val="24"/>
              <w:szCs w:val="24"/>
            </w:rPr>
            <w:t>U N I V E R S I D A D E   D E   S Ã O   P A U L O ________________________________________________</w:t>
          </w:r>
        </w:p>
        <w:p w14:paraId="29828BBF" w14:textId="77777777" w:rsidR="00D85432" w:rsidRDefault="00000000">
          <w:pPr>
            <w:jc w:val="center"/>
            <w:rPr>
              <w:rFonts w:ascii="Arial" w:eastAsia="Arial" w:hAnsi="Arial" w:cs="Arial"/>
              <w:b/>
              <w:color w:val="0000FF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0000FF"/>
              <w:sz w:val="24"/>
              <w:szCs w:val="24"/>
            </w:rPr>
            <w:t xml:space="preserve">Faculdade de Ciências Farmacêuticas </w:t>
          </w:r>
        </w:p>
        <w:p w14:paraId="1037E9EB" w14:textId="77777777" w:rsidR="00D85432" w:rsidRDefault="00000000">
          <w:pPr>
            <w:pStyle w:val="Ttulo1"/>
            <w:rPr>
              <w:rFonts w:ascii="Arial" w:eastAsia="Arial" w:hAnsi="Arial" w:cs="Arial"/>
              <w:color w:val="0000FF"/>
            </w:rPr>
          </w:pPr>
          <w:r>
            <w:rPr>
              <w:rFonts w:ascii="Arial" w:eastAsia="Arial" w:hAnsi="Arial" w:cs="Arial"/>
              <w:color w:val="0000FF"/>
            </w:rPr>
            <w:t>Departamento de Farmácia</w:t>
          </w:r>
        </w:p>
      </w:tc>
    </w:tr>
  </w:tbl>
  <w:p w14:paraId="72C6434B" w14:textId="77777777" w:rsidR="00D85432" w:rsidRDefault="00D8543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432"/>
    <w:rsid w:val="001D26AA"/>
    <w:rsid w:val="0033156F"/>
    <w:rsid w:val="00B52A66"/>
    <w:rsid w:val="00D8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BC41B"/>
  <w15:docId w15:val="{98896171-2C13-4FA4-8D62-5DD364B2C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F38"/>
  </w:style>
  <w:style w:type="paragraph" w:styleId="Ttulo1">
    <w:name w:val="heading 1"/>
    <w:basedOn w:val="Normal"/>
    <w:next w:val="Normal"/>
    <w:link w:val="Ttulo1Char"/>
    <w:uiPriority w:val="9"/>
    <w:qFormat/>
    <w:rsid w:val="001B5F38"/>
    <w:pPr>
      <w:keepNext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link w:val="Ttulo1"/>
    <w:rsid w:val="001B5F38"/>
    <w:rPr>
      <w:rFonts w:ascii="Times New Roman" w:eastAsia="Times New Roman" w:hAnsi="Times New Roman" w:cs="Times New Roman"/>
      <w:b/>
      <w:szCs w:val="20"/>
      <w:lang w:eastAsia="pt-BR"/>
    </w:rPr>
  </w:style>
  <w:style w:type="paragraph" w:styleId="Cabealho">
    <w:name w:val="header"/>
    <w:basedOn w:val="Normal"/>
    <w:link w:val="CabealhoChar"/>
    <w:rsid w:val="001B5F3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1B5F3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1B5F38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1B5F3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1011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13CBE"/>
    <w:pPr>
      <w:spacing w:before="100" w:beforeAutospacing="1" w:after="100" w:afterAutospacing="1"/>
    </w:pPr>
    <w:rPr>
      <w:sz w:val="24"/>
      <w:szCs w:val="24"/>
    </w:rPr>
  </w:style>
  <w:style w:type="character" w:customStyle="1" w:styleId="hp">
    <w:name w:val="hp"/>
    <w:rsid w:val="00F32208"/>
  </w:style>
  <w:style w:type="paragraph" w:styleId="Textodebalo">
    <w:name w:val="Balloon Text"/>
    <w:basedOn w:val="Normal"/>
    <w:link w:val="TextodebaloChar"/>
    <w:uiPriority w:val="99"/>
    <w:semiHidden/>
    <w:unhideWhenUsed/>
    <w:rsid w:val="000734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47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C0A0D"/>
    <w:rPr>
      <w:color w:val="0563C1" w:themeColor="hyperlink"/>
      <w:u w:val="single"/>
    </w:rPr>
  </w:style>
  <w:style w:type="table" w:styleId="TabeladeLista3-nfase3">
    <w:name w:val="List Table 3 Accent 3"/>
    <w:basedOn w:val="Tabelanormal"/>
    <w:uiPriority w:val="48"/>
    <w:rsid w:val="00A126F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help">
    <w:name w:val="help"/>
    <w:basedOn w:val="Normal"/>
    <w:rsid w:val="006E64EF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C60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FD4F8C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pGkuUvdfckT2n8J/BqVO1Sw0qw==">CgMxLjA4AHIhMU0wX1pQVE0zTzdBcE93TXRQb3BqbEV2YTh4dE5EeDRG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elfi</dc:creator>
  <cp:lastModifiedBy>Marília Berlofa Visacri</cp:lastModifiedBy>
  <cp:revision>2</cp:revision>
  <dcterms:created xsi:type="dcterms:W3CDTF">2022-03-25T10:49:00Z</dcterms:created>
  <dcterms:modified xsi:type="dcterms:W3CDTF">2024-06-06T14:34:00Z</dcterms:modified>
</cp:coreProperties>
</file>