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Default="001E2099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02</w:t>
      </w:r>
      <w:r w:rsidR="00D67A4A">
        <w:rPr>
          <w:sz w:val="28"/>
          <w:szCs w:val="28"/>
        </w:rPr>
        <w:t>, Cantochão</w:t>
      </w:r>
    </w:p>
    <w:p w:rsidR="00D67A4A" w:rsidRDefault="00D67A4A" w:rsidP="00D67A4A">
      <w:pPr>
        <w:rPr>
          <w:sz w:val="28"/>
          <w:szCs w:val="28"/>
        </w:rPr>
      </w:pPr>
    </w:p>
    <w:p w:rsidR="00D67A4A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>Período abrangido: início da composição e do desenvolvimento do repertório do cantochão até a assimilação do mesmo pelos francos entre 750 e 850 d.C.</w:t>
      </w:r>
      <w:r w:rsidR="001A54D0">
        <w:rPr>
          <w:szCs w:val="24"/>
        </w:rPr>
        <w:t xml:space="preserve"> Importante marco neste período, principalmente para o estabelecimento </w:t>
      </w:r>
      <w:r w:rsidR="001F5325">
        <w:rPr>
          <w:szCs w:val="24"/>
        </w:rPr>
        <w:t xml:space="preserve">definitivo </w:t>
      </w:r>
      <w:r w:rsidR="001A54D0">
        <w:rPr>
          <w:szCs w:val="24"/>
        </w:rPr>
        <w:t>da Igreja Católica</w:t>
      </w:r>
      <w:r w:rsidR="001F5325">
        <w:rPr>
          <w:szCs w:val="24"/>
        </w:rPr>
        <w:t xml:space="preserve"> na Europa central</w:t>
      </w:r>
      <w:r w:rsidR="001A54D0">
        <w:rPr>
          <w:szCs w:val="24"/>
        </w:rPr>
        <w:t>, é o coroamento de Carlos Magno em 25</w:t>
      </w:r>
      <w:r w:rsidR="001F5325">
        <w:rPr>
          <w:szCs w:val="24"/>
        </w:rPr>
        <w:t xml:space="preserve"> de Dezembro do ano de 800 </w:t>
      </w:r>
      <w:proofErr w:type="gramStart"/>
      <w:r w:rsidR="001F5325">
        <w:rPr>
          <w:szCs w:val="24"/>
        </w:rPr>
        <w:t>d.C.</w:t>
      </w:r>
      <w:proofErr w:type="gramEnd"/>
    </w:p>
    <w:p w:rsidR="00D67A4A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EF5553">
        <w:rPr>
          <w:szCs w:val="24"/>
        </w:rPr>
        <w:t xml:space="preserve">Ritos católicos de diversos tipos se desenvolveram em vários locais da Europa, criando dialetos de canto que os caracterizam. </w:t>
      </w:r>
      <w:r w:rsidR="001F5325">
        <w:rPr>
          <w:szCs w:val="24"/>
        </w:rPr>
        <w:t>De</w:t>
      </w:r>
      <w:r w:rsidR="00EF5553">
        <w:rPr>
          <w:szCs w:val="24"/>
        </w:rPr>
        <w:t>ntre estes dialetos do cantochão estão os dialetos</w:t>
      </w:r>
      <w:r w:rsidR="00D67A4A">
        <w:rPr>
          <w:szCs w:val="24"/>
        </w:rPr>
        <w:t xml:space="preserve"> romano antigo, milanês ou ambrosiano, moçár</w:t>
      </w:r>
      <w:r w:rsidR="00FA5B2F">
        <w:rPr>
          <w:szCs w:val="24"/>
        </w:rPr>
        <w:t>abe, gálico, bizantino, e o gregoriano.</w:t>
      </w:r>
    </w:p>
    <w:p w:rsidR="00FA5B2F" w:rsidRDefault="004E4CC0" w:rsidP="00D67A4A">
      <w:pPr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>Classificação dos tipos d</w:t>
      </w:r>
      <w:r w:rsidR="001F5325">
        <w:rPr>
          <w:szCs w:val="24"/>
        </w:rPr>
        <w:t>e canto: melismático e silábico.</w:t>
      </w:r>
    </w:p>
    <w:p w:rsidR="004E4CC0" w:rsidRPr="00245CBD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Divisão d</w:t>
      </w:r>
      <w:r w:rsidR="000D0C04">
        <w:rPr>
          <w:szCs w:val="24"/>
        </w:rPr>
        <w:t xml:space="preserve">as partes cantadas na missa (segue, ao lado de cada canto, </w:t>
      </w:r>
      <w:r w:rsidR="00245CBD">
        <w:rPr>
          <w:szCs w:val="24"/>
        </w:rPr>
        <w:t xml:space="preserve">a divisão da forma da peça; </w:t>
      </w:r>
      <w:r w:rsidR="00245CBD">
        <w:rPr>
          <w:i/>
          <w:szCs w:val="24"/>
        </w:rPr>
        <w:t xml:space="preserve">A </w:t>
      </w:r>
      <w:r w:rsidR="00245CBD">
        <w:rPr>
          <w:szCs w:val="24"/>
        </w:rPr>
        <w:t xml:space="preserve">indica uma antífona, </w:t>
      </w:r>
      <w:r w:rsidR="00245CBD">
        <w:rPr>
          <w:i/>
          <w:szCs w:val="24"/>
        </w:rPr>
        <w:t xml:space="preserve">TS </w:t>
      </w:r>
      <w:r w:rsidR="00245CBD">
        <w:rPr>
          <w:szCs w:val="24"/>
        </w:rPr>
        <w:t>um</w:t>
      </w:r>
      <w:r w:rsidR="001F5325">
        <w:rPr>
          <w:szCs w:val="24"/>
        </w:rPr>
        <w:t>a</w:t>
      </w:r>
      <w:r w:rsidR="00245CBD">
        <w:rPr>
          <w:szCs w:val="24"/>
        </w:rPr>
        <w:t xml:space="preserve"> </w:t>
      </w:r>
      <w:r w:rsidR="001F5325">
        <w:rPr>
          <w:szCs w:val="24"/>
        </w:rPr>
        <w:t xml:space="preserve">leitura em </w:t>
      </w:r>
      <w:r w:rsidR="00245CBD">
        <w:rPr>
          <w:szCs w:val="24"/>
        </w:rPr>
        <w:t>tom de salmodia).</w:t>
      </w:r>
    </w:p>
    <w:p w:rsidR="004E4CC0" w:rsidRDefault="004E4CC0" w:rsidP="00D67A4A">
      <w:pPr>
        <w:rPr>
          <w:b/>
          <w:szCs w:val="24"/>
        </w:rPr>
      </w:pPr>
      <w:r>
        <w:rPr>
          <w:szCs w:val="24"/>
        </w:rPr>
        <w:tab/>
      </w:r>
      <w:proofErr w:type="spellStart"/>
      <w:r>
        <w:rPr>
          <w:b/>
          <w:szCs w:val="24"/>
        </w:rPr>
        <w:t>Synaxis</w:t>
      </w:r>
      <w:proofErr w:type="spellEnd"/>
      <w:r>
        <w:rPr>
          <w:b/>
          <w:szCs w:val="24"/>
        </w:rPr>
        <w:t>.</w:t>
      </w:r>
    </w:p>
    <w:p w:rsidR="004E4CC0" w:rsidRDefault="004E4CC0" w:rsidP="00D67A4A">
      <w:pPr>
        <w:rPr>
          <w:i/>
          <w:szCs w:val="24"/>
        </w:rPr>
      </w:pPr>
      <w:r>
        <w:rPr>
          <w:b/>
          <w:szCs w:val="24"/>
        </w:rPr>
        <w:tab/>
      </w:r>
      <w:r>
        <w:rPr>
          <w:b/>
          <w:i/>
          <w:szCs w:val="24"/>
        </w:rPr>
        <w:tab/>
      </w:r>
      <w:r>
        <w:rPr>
          <w:i/>
          <w:szCs w:val="24"/>
        </w:rPr>
        <w:t>Intróito.</w:t>
      </w:r>
      <w:r w:rsidR="001F5325">
        <w:rPr>
          <w:i/>
          <w:szCs w:val="24"/>
        </w:rPr>
        <w:t xml:space="preserve"> A-TS</w:t>
      </w:r>
      <w:r w:rsidR="00A21E9C">
        <w:rPr>
          <w:i/>
          <w:szCs w:val="24"/>
        </w:rPr>
        <w:t>-A.</w:t>
      </w:r>
    </w:p>
    <w:p w:rsidR="004E4CC0" w:rsidRDefault="004E4CC0" w:rsidP="00D67A4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Coleta.</w:t>
      </w:r>
      <w:r w:rsidR="00A21E9C">
        <w:rPr>
          <w:i/>
          <w:szCs w:val="24"/>
        </w:rPr>
        <w:t xml:space="preserve"> TS.</w:t>
      </w:r>
    </w:p>
    <w:p w:rsidR="004E4CC0" w:rsidRDefault="004E4CC0" w:rsidP="00D67A4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Epístola.</w:t>
      </w:r>
      <w:r w:rsidR="00A21E9C">
        <w:rPr>
          <w:i/>
          <w:szCs w:val="24"/>
        </w:rPr>
        <w:t xml:space="preserve"> TS.</w:t>
      </w:r>
    </w:p>
    <w:p w:rsidR="004E4CC0" w:rsidRDefault="004E4CC0" w:rsidP="00D67A4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Gradual.</w:t>
      </w:r>
      <w:r w:rsidR="00A21E9C">
        <w:rPr>
          <w:i/>
          <w:szCs w:val="24"/>
        </w:rPr>
        <w:t xml:space="preserve"> A</w:t>
      </w:r>
      <w:r w:rsidR="00FA5B2F">
        <w:rPr>
          <w:i/>
          <w:szCs w:val="24"/>
        </w:rPr>
        <w:t>1-A2</w:t>
      </w:r>
      <w:r w:rsidR="00A21E9C">
        <w:rPr>
          <w:i/>
          <w:szCs w:val="24"/>
        </w:rPr>
        <w:t>-A</w:t>
      </w:r>
      <w:r w:rsidR="00FA5B2F">
        <w:rPr>
          <w:i/>
          <w:szCs w:val="24"/>
        </w:rPr>
        <w:t>1</w:t>
      </w:r>
      <w:r w:rsidR="00A21E9C">
        <w:rPr>
          <w:i/>
          <w:szCs w:val="24"/>
        </w:rPr>
        <w:t>.</w:t>
      </w:r>
    </w:p>
    <w:p w:rsidR="004E4CC0" w:rsidRDefault="00FA5B2F" w:rsidP="00D67A4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Aleluia. A1-A2</w:t>
      </w:r>
      <w:r w:rsidR="00A21E9C">
        <w:rPr>
          <w:i/>
          <w:szCs w:val="24"/>
        </w:rPr>
        <w:t>-A</w:t>
      </w:r>
      <w:r>
        <w:rPr>
          <w:i/>
          <w:szCs w:val="24"/>
        </w:rPr>
        <w:t>1</w:t>
      </w:r>
      <w:r w:rsidR="00A21E9C">
        <w:rPr>
          <w:i/>
          <w:szCs w:val="24"/>
        </w:rPr>
        <w:t>.</w:t>
      </w:r>
    </w:p>
    <w:p w:rsidR="004E4CC0" w:rsidRDefault="004E4CC0" w:rsidP="00D67A4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E</w:t>
      </w:r>
      <w:bookmarkStart w:id="0" w:name="_GoBack"/>
      <w:bookmarkEnd w:id="0"/>
      <w:r>
        <w:rPr>
          <w:i/>
          <w:szCs w:val="24"/>
        </w:rPr>
        <w:t>vangelho.</w:t>
      </w:r>
      <w:r w:rsidR="00A21E9C">
        <w:rPr>
          <w:i/>
          <w:szCs w:val="24"/>
        </w:rPr>
        <w:t xml:space="preserve"> TS.</w:t>
      </w:r>
    </w:p>
    <w:p w:rsidR="004E4CC0" w:rsidRDefault="004E4CC0" w:rsidP="00D67A4A">
      <w:pPr>
        <w:rPr>
          <w:szCs w:val="24"/>
        </w:rPr>
      </w:pPr>
      <w:r>
        <w:rPr>
          <w:i/>
          <w:szCs w:val="24"/>
        </w:rPr>
        <w:tab/>
      </w:r>
      <w:r>
        <w:rPr>
          <w:b/>
          <w:szCs w:val="24"/>
        </w:rPr>
        <w:t>Eucaristia.</w:t>
      </w:r>
    </w:p>
    <w:p w:rsidR="004E4CC0" w:rsidRPr="004E4CC0" w:rsidRDefault="004E4CC0" w:rsidP="00D67A4A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E4CC0">
        <w:rPr>
          <w:i/>
          <w:szCs w:val="24"/>
        </w:rPr>
        <w:t>Ofertório.</w:t>
      </w:r>
      <w:r w:rsidR="00A21E9C">
        <w:rPr>
          <w:i/>
          <w:szCs w:val="24"/>
        </w:rPr>
        <w:t xml:space="preserve"> A</w:t>
      </w:r>
      <w:r w:rsidR="00FA5B2F">
        <w:rPr>
          <w:i/>
          <w:szCs w:val="24"/>
        </w:rPr>
        <w:t>.</w:t>
      </w:r>
    </w:p>
    <w:p w:rsidR="00A21E9C" w:rsidRPr="004E4CC0" w:rsidRDefault="004E4CC0" w:rsidP="00D67A4A">
      <w:pPr>
        <w:rPr>
          <w:i/>
          <w:szCs w:val="24"/>
        </w:rPr>
      </w:pPr>
      <w:r w:rsidRPr="004E4CC0">
        <w:rPr>
          <w:i/>
          <w:szCs w:val="24"/>
        </w:rPr>
        <w:tab/>
      </w:r>
      <w:r w:rsidRPr="004E4CC0">
        <w:rPr>
          <w:i/>
          <w:szCs w:val="24"/>
        </w:rPr>
        <w:tab/>
        <w:t>Benç</w:t>
      </w:r>
      <w:r w:rsidR="00A21E9C">
        <w:rPr>
          <w:i/>
          <w:szCs w:val="24"/>
        </w:rPr>
        <w:t>ão (prefácio, cânone, Pai Nosso). TS.</w:t>
      </w:r>
    </w:p>
    <w:p w:rsidR="004E4CC0" w:rsidRDefault="004E4CC0" w:rsidP="00D67A4A">
      <w:pPr>
        <w:rPr>
          <w:i/>
          <w:szCs w:val="24"/>
        </w:rPr>
      </w:pPr>
      <w:r w:rsidRPr="004E4CC0">
        <w:rPr>
          <w:i/>
          <w:szCs w:val="24"/>
        </w:rPr>
        <w:tab/>
      </w:r>
      <w:r w:rsidRPr="004E4CC0">
        <w:rPr>
          <w:i/>
          <w:szCs w:val="24"/>
        </w:rPr>
        <w:tab/>
        <w:t>Comunhão.</w:t>
      </w:r>
      <w:r w:rsidR="00A21E9C">
        <w:rPr>
          <w:i/>
          <w:szCs w:val="24"/>
        </w:rPr>
        <w:t xml:space="preserve"> A.</w:t>
      </w:r>
    </w:p>
    <w:p w:rsidR="001E2099" w:rsidRDefault="001E2099">
      <w:pPr>
        <w:rPr>
          <w:szCs w:val="24"/>
        </w:rPr>
      </w:pPr>
      <w:r>
        <w:rPr>
          <w:szCs w:val="24"/>
        </w:rPr>
        <w:br w:type="page"/>
      </w:r>
    </w:p>
    <w:p w:rsidR="001E2099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lastRenderedPageBreak/>
        <w:t>・</w:t>
      </w:r>
      <w:r>
        <w:rPr>
          <w:szCs w:val="24"/>
        </w:rPr>
        <w:t xml:space="preserve">Os cantos acima são divididos em cantos que se organizam com uma </w:t>
      </w:r>
      <w:r w:rsidR="001F70F5">
        <w:rPr>
          <w:szCs w:val="24"/>
        </w:rPr>
        <w:t xml:space="preserve">divisão formal </w:t>
      </w:r>
      <w:r w:rsidR="003E1C7C">
        <w:rPr>
          <w:szCs w:val="24"/>
        </w:rPr>
        <w:t>dos seguintes tipos:</w:t>
      </w:r>
    </w:p>
    <w:p w:rsidR="001E2099" w:rsidRPr="00840652" w:rsidRDefault="001E2099" w:rsidP="00840652">
      <w:pPr>
        <w:pStyle w:val="PargrafodaLista"/>
        <w:numPr>
          <w:ilvl w:val="0"/>
          <w:numId w:val="2"/>
        </w:numPr>
        <w:jc w:val="both"/>
        <w:rPr>
          <w:szCs w:val="24"/>
        </w:rPr>
      </w:pPr>
      <w:r w:rsidRPr="00840652">
        <w:rPr>
          <w:szCs w:val="24"/>
        </w:rPr>
        <w:t xml:space="preserve">Salmo: 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>Antífona</w:t>
      </w:r>
      <w:r w:rsidR="002577C4">
        <w:rPr>
          <w:szCs w:val="24"/>
        </w:rPr>
        <w:t xml:space="preserve"> – Salmo (ou trecho de salmo) [</w:t>
      </w:r>
      <w:r>
        <w:rPr>
          <w:szCs w:val="24"/>
        </w:rPr>
        <w:t>doxologia] – Antífona</w:t>
      </w:r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>Utilizado no ofício (salmos) e na missa (introitus, ofertório, comunhão)</w:t>
      </w:r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</w:p>
    <w:p w:rsidR="001E2099" w:rsidRPr="00840652" w:rsidRDefault="001E2099" w:rsidP="00840652">
      <w:pPr>
        <w:pStyle w:val="PargrafodaLista"/>
        <w:numPr>
          <w:ilvl w:val="0"/>
          <w:numId w:val="2"/>
        </w:numPr>
        <w:jc w:val="both"/>
        <w:rPr>
          <w:szCs w:val="24"/>
        </w:rPr>
      </w:pPr>
      <w:r w:rsidRPr="00840652">
        <w:rPr>
          <w:szCs w:val="24"/>
        </w:rPr>
        <w:t>Gradual: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>Antífona A – Antífona B – Antífona A</w:t>
      </w:r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 xml:space="preserve">(a antífona A não é um </w:t>
      </w:r>
      <w:proofErr w:type="spellStart"/>
      <w:r>
        <w:rPr>
          <w:szCs w:val="24"/>
        </w:rPr>
        <w:t>Alleluia</w:t>
      </w:r>
      <w:proofErr w:type="spellEnd"/>
      <w:r>
        <w:rPr>
          <w:szCs w:val="24"/>
        </w:rPr>
        <w:t>)</w:t>
      </w:r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</w:p>
    <w:p w:rsidR="001E2099" w:rsidRPr="00840652" w:rsidRDefault="001E2099" w:rsidP="00840652">
      <w:pPr>
        <w:pStyle w:val="PargrafodaLista"/>
        <w:numPr>
          <w:ilvl w:val="0"/>
          <w:numId w:val="2"/>
        </w:numPr>
        <w:jc w:val="both"/>
        <w:rPr>
          <w:szCs w:val="24"/>
        </w:rPr>
      </w:pPr>
      <w:proofErr w:type="spellStart"/>
      <w:r w:rsidRPr="00840652">
        <w:rPr>
          <w:szCs w:val="24"/>
        </w:rPr>
        <w:t>Alleluia</w:t>
      </w:r>
      <w:proofErr w:type="spellEnd"/>
      <w:r w:rsidRPr="00840652">
        <w:rPr>
          <w:szCs w:val="24"/>
        </w:rPr>
        <w:t xml:space="preserve"> 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>Antífona A (</w:t>
      </w:r>
      <w:proofErr w:type="spellStart"/>
      <w:r>
        <w:rPr>
          <w:szCs w:val="24"/>
        </w:rPr>
        <w:t>Alleluia</w:t>
      </w:r>
      <w:proofErr w:type="spellEnd"/>
      <w:r>
        <w:rPr>
          <w:szCs w:val="24"/>
        </w:rPr>
        <w:t>) – Antífona B – Antífona A (</w:t>
      </w:r>
      <w:proofErr w:type="spellStart"/>
      <w:r>
        <w:rPr>
          <w:szCs w:val="24"/>
        </w:rPr>
        <w:t>Alleluia</w:t>
      </w:r>
      <w:proofErr w:type="spellEnd"/>
      <w:r>
        <w:rPr>
          <w:szCs w:val="24"/>
        </w:rPr>
        <w:t>)</w:t>
      </w:r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a antífona A é sempre um </w:t>
      </w:r>
      <w:proofErr w:type="spellStart"/>
      <w:r>
        <w:rPr>
          <w:szCs w:val="24"/>
        </w:rPr>
        <w:t>Alleluia</w:t>
      </w:r>
      <w:proofErr w:type="spellEnd"/>
      <w:r>
        <w:rPr>
          <w:szCs w:val="24"/>
        </w:rPr>
        <w:t>)</w:t>
      </w:r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</w:p>
    <w:p w:rsidR="001E2099" w:rsidRPr="00840652" w:rsidRDefault="00840652" w:rsidP="00840652">
      <w:pPr>
        <w:pStyle w:val="PargrafodaList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</w:t>
      </w:r>
      <w:r w:rsidR="001E2099" w:rsidRPr="00840652">
        <w:rPr>
          <w:szCs w:val="24"/>
        </w:rPr>
        <w:t>eituras: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>Coleta, epístola, evangelho, benção</w:t>
      </w:r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 xml:space="preserve">Canto silábico com presença de tom </w:t>
      </w:r>
      <w:proofErr w:type="spellStart"/>
      <w:r>
        <w:rPr>
          <w:szCs w:val="24"/>
        </w:rPr>
        <w:t>salmódico</w:t>
      </w:r>
      <w:proofErr w:type="spellEnd"/>
      <w:r w:rsidR="003E1C7C">
        <w:rPr>
          <w:szCs w:val="24"/>
        </w:rPr>
        <w:t>.</w:t>
      </w:r>
    </w:p>
    <w:p w:rsidR="001E2099" w:rsidRDefault="001E2099" w:rsidP="001F70F5">
      <w:pPr>
        <w:jc w:val="both"/>
        <w:rPr>
          <w:szCs w:val="24"/>
        </w:rPr>
      </w:pPr>
      <w:r>
        <w:rPr>
          <w:szCs w:val="24"/>
        </w:rPr>
        <w:t>Não é emoldurado por antífonas</w:t>
      </w:r>
      <w:r w:rsidR="003E1C7C">
        <w:rPr>
          <w:szCs w:val="24"/>
        </w:rPr>
        <w:t>.</w:t>
      </w:r>
    </w:p>
    <w:p w:rsidR="001E2099" w:rsidRPr="001E2099" w:rsidRDefault="001E2099" w:rsidP="001E2099">
      <w:pPr>
        <w:pStyle w:val="PargrafodaLista"/>
        <w:jc w:val="both"/>
        <w:rPr>
          <w:szCs w:val="24"/>
        </w:rPr>
      </w:pPr>
    </w:p>
    <w:p w:rsidR="001E2099" w:rsidRDefault="00FE7285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1E2099">
        <w:rPr>
          <w:szCs w:val="24"/>
        </w:rPr>
        <w:t>Antífona é uma melodia melismática, que faz parte de uma coleção conhecida como “antifonário”</w:t>
      </w:r>
    </w:p>
    <w:p w:rsidR="001F5325" w:rsidRDefault="001E2099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Tom </w:t>
      </w:r>
      <w:proofErr w:type="spellStart"/>
      <w:r>
        <w:rPr>
          <w:szCs w:val="24"/>
        </w:rPr>
        <w:t>salmódico</w:t>
      </w:r>
      <w:proofErr w:type="spellEnd"/>
      <w:r w:rsidR="00FE7285">
        <w:rPr>
          <w:szCs w:val="24"/>
        </w:rPr>
        <w:t xml:space="preserve"> é a form</w:t>
      </w:r>
      <w:r w:rsidR="001F5325">
        <w:rPr>
          <w:szCs w:val="24"/>
        </w:rPr>
        <w:t>ula que se mantém ao redor de</w:t>
      </w:r>
      <w:r w:rsidR="00FE7285">
        <w:rPr>
          <w:szCs w:val="24"/>
        </w:rPr>
        <w:t xml:space="preserve"> uma nota</w:t>
      </w:r>
      <w:r w:rsidR="001F5325">
        <w:rPr>
          <w:szCs w:val="24"/>
        </w:rPr>
        <w:t>, usando de fórmulas melódicas para pontuar e articular o canto e o texto,</w:t>
      </w:r>
      <w:r w:rsidR="00FE7285">
        <w:rPr>
          <w:szCs w:val="24"/>
        </w:rPr>
        <w:t xml:space="preserve"> </w:t>
      </w:r>
      <w:r w:rsidR="001F5325">
        <w:rPr>
          <w:szCs w:val="24"/>
        </w:rPr>
        <w:t xml:space="preserve">usado </w:t>
      </w:r>
      <w:r w:rsidR="00FE7285">
        <w:rPr>
          <w:szCs w:val="24"/>
        </w:rPr>
        <w:t xml:space="preserve">para a leitura de textos e recitação de versos de salmos. </w:t>
      </w:r>
    </w:p>
    <w:p w:rsidR="00FE7285" w:rsidRPr="001A54D0" w:rsidRDefault="001F5325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1E2099">
        <w:rPr>
          <w:szCs w:val="24"/>
        </w:rPr>
        <w:t>D</w:t>
      </w:r>
      <w:r w:rsidR="00A130DC">
        <w:rPr>
          <w:szCs w:val="24"/>
        </w:rPr>
        <w:t xml:space="preserve">oxologia é uma curta melodia com </w:t>
      </w:r>
      <w:r w:rsidR="00A130DC" w:rsidRPr="001A54D0">
        <w:rPr>
          <w:szCs w:val="24"/>
        </w:rPr>
        <w:t xml:space="preserve">um texto fixo </w:t>
      </w:r>
      <w:r w:rsidR="00A47CCE" w:rsidRPr="001A54D0">
        <w:rPr>
          <w:i/>
          <w:szCs w:val="24"/>
        </w:rPr>
        <w:t xml:space="preserve">(gloria </w:t>
      </w:r>
      <w:proofErr w:type="spellStart"/>
      <w:r w:rsidR="00A47CCE" w:rsidRPr="001A54D0">
        <w:rPr>
          <w:i/>
          <w:szCs w:val="24"/>
        </w:rPr>
        <w:t>patri</w:t>
      </w:r>
      <w:proofErr w:type="spellEnd"/>
      <w:r w:rsidR="00A47CCE" w:rsidRPr="001A54D0">
        <w:rPr>
          <w:i/>
          <w:szCs w:val="24"/>
        </w:rPr>
        <w:t>, et filio[...]</w:t>
      </w:r>
      <w:r w:rsidR="00A130DC" w:rsidRPr="001A54D0">
        <w:rPr>
          <w:i/>
          <w:szCs w:val="24"/>
        </w:rPr>
        <w:t xml:space="preserve">), </w:t>
      </w:r>
      <w:r w:rsidR="00A130DC" w:rsidRPr="001A54D0">
        <w:rPr>
          <w:szCs w:val="24"/>
        </w:rPr>
        <w:t xml:space="preserve">que pode ser cantado ao final de versos e antífonas nos cantos litúrgicos católicos. </w:t>
      </w:r>
    </w:p>
    <w:p w:rsidR="00487EDA" w:rsidRDefault="00487EDA" w:rsidP="001F70F5">
      <w:pPr>
        <w:jc w:val="both"/>
        <w:rPr>
          <w:b/>
          <w:szCs w:val="24"/>
        </w:rPr>
      </w:pPr>
      <w:r w:rsidRPr="001A54D0">
        <w:rPr>
          <w:b/>
          <w:szCs w:val="24"/>
        </w:rPr>
        <w:t>Categorias de escuta introduzidas nesta aula.</w:t>
      </w:r>
    </w:p>
    <w:p w:rsidR="001A54D0" w:rsidRDefault="001A54D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Cantos silábico e melismático.</w:t>
      </w:r>
    </w:p>
    <w:p w:rsidR="001A54D0" w:rsidRDefault="001A54D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Tom </w:t>
      </w:r>
      <w:proofErr w:type="spellStart"/>
      <w:r w:rsidR="001E2099">
        <w:rPr>
          <w:szCs w:val="24"/>
        </w:rPr>
        <w:t>salmódico</w:t>
      </w:r>
      <w:proofErr w:type="spellEnd"/>
      <w:r w:rsidR="001E2099">
        <w:rPr>
          <w:szCs w:val="24"/>
        </w:rPr>
        <w:t>.</w:t>
      </w:r>
    </w:p>
    <w:p w:rsidR="001A54D0" w:rsidRDefault="001A54D0" w:rsidP="001F70F5">
      <w:pPr>
        <w:jc w:val="both"/>
        <w:rPr>
          <w:szCs w:val="24"/>
        </w:rPr>
      </w:pPr>
      <w:r>
        <w:rPr>
          <w:rFonts w:hint="eastAsia"/>
          <w:szCs w:val="24"/>
        </w:rPr>
        <w:lastRenderedPageBreak/>
        <w:t>・</w:t>
      </w:r>
      <w:r>
        <w:rPr>
          <w:szCs w:val="24"/>
        </w:rPr>
        <w:t>Cantos de influência oriental (cantos de dialeto moçárabe, bizantino, e outros) e gregoriano.</w:t>
      </w:r>
    </w:p>
    <w:p w:rsidR="003E1C7C" w:rsidRPr="001A54D0" w:rsidRDefault="003E1C7C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As formas dos cant</w:t>
      </w:r>
      <w:r w:rsidR="00296A43">
        <w:rPr>
          <w:szCs w:val="24"/>
        </w:rPr>
        <w:t>os católicos, que se caracterizam pelo uso de melodias de antífonas e leituras que usam tons de salmodia para articular-se.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C45160" w:rsidRPr="00C45160" w:rsidRDefault="006F55E1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C45160">
        <w:rPr>
          <w:szCs w:val="24"/>
        </w:rPr>
        <w:t>Ambos os canais abaixo contêm variados vídeos dos diversos tipos de canto católico, tanto do ofício como da missa. Todos os vídeos acompanham o gênero (gradual, aleluia, ofertório, etc.) e partitura.</w:t>
      </w:r>
    </w:p>
    <w:p w:rsidR="00A05BE1" w:rsidRDefault="00972492" w:rsidP="001F70F5">
      <w:pPr>
        <w:jc w:val="both"/>
        <w:rPr>
          <w:szCs w:val="24"/>
        </w:rPr>
      </w:pPr>
      <w:proofErr w:type="gramStart"/>
      <w:r w:rsidRPr="00972492">
        <w:rPr>
          <w:szCs w:val="24"/>
        </w:rPr>
        <w:t>https</w:t>
      </w:r>
      <w:proofErr w:type="gramEnd"/>
      <w:r w:rsidRPr="00972492">
        <w:rPr>
          <w:szCs w:val="24"/>
        </w:rPr>
        <w:t>://www.youtube.com/user/faithandarts0/videos</w:t>
      </w:r>
    </w:p>
    <w:p w:rsidR="00665D04" w:rsidRDefault="00D02C52" w:rsidP="001F70F5">
      <w:pPr>
        <w:jc w:val="both"/>
        <w:rPr>
          <w:szCs w:val="24"/>
        </w:rPr>
      </w:pPr>
      <w:proofErr w:type="gramStart"/>
      <w:r w:rsidRPr="00D02C52">
        <w:rPr>
          <w:szCs w:val="24"/>
        </w:rPr>
        <w:t>https</w:t>
      </w:r>
      <w:proofErr w:type="gramEnd"/>
      <w:r w:rsidRPr="00D02C52">
        <w:rPr>
          <w:szCs w:val="24"/>
        </w:rPr>
        <w:t>://www.youtube.com/user/SGeorgeAZ/videos</w:t>
      </w:r>
    </w:p>
    <w:p w:rsidR="00D02C52" w:rsidRPr="00200701" w:rsidRDefault="006F55E1" w:rsidP="001F70F5">
      <w:pPr>
        <w:jc w:val="both"/>
        <w:rPr>
          <w:i/>
          <w:szCs w:val="24"/>
        </w:rPr>
      </w:pPr>
      <w:r>
        <w:rPr>
          <w:rFonts w:hint="eastAsia"/>
          <w:szCs w:val="24"/>
        </w:rPr>
        <w:t>・</w:t>
      </w:r>
      <w:r w:rsidR="00D02C52">
        <w:rPr>
          <w:szCs w:val="24"/>
        </w:rPr>
        <w:t xml:space="preserve">Para discografia que abrange cantos de dialeto não gregoriano, indica-se CDs do conjunto </w:t>
      </w:r>
      <w:r w:rsidR="00D02C52">
        <w:rPr>
          <w:i/>
          <w:szCs w:val="24"/>
        </w:rPr>
        <w:t>Ensemble Organum</w:t>
      </w:r>
      <w:r w:rsidR="00D02C52">
        <w:rPr>
          <w:szCs w:val="24"/>
        </w:rPr>
        <w:t xml:space="preserve">. Dentre os vários, indica-se </w:t>
      </w:r>
      <w:proofErr w:type="spellStart"/>
      <w:r w:rsidR="00200701" w:rsidRPr="00200701">
        <w:rPr>
          <w:i/>
          <w:szCs w:val="24"/>
        </w:rPr>
        <w:t>Chant</w:t>
      </w:r>
      <w:proofErr w:type="spellEnd"/>
      <w:r w:rsidR="00200701" w:rsidRPr="00200701">
        <w:rPr>
          <w:i/>
          <w:szCs w:val="24"/>
        </w:rPr>
        <w:t xml:space="preserve"> </w:t>
      </w:r>
      <w:proofErr w:type="spellStart"/>
      <w:r w:rsidR="00200701" w:rsidRPr="00200701">
        <w:rPr>
          <w:i/>
          <w:szCs w:val="24"/>
        </w:rPr>
        <w:t>Mozarabe</w:t>
      </w:r>
      <w:proofErr w:type="spellEnd"/>
      <w:r w:rsidR="00200701" w:rsidRPr="00200701">
        <w:rPr>
          <w:i/>
          <w:szCs w:val="24"/>
        </w:rPr>
        <w:t xml:space="preserve"> - </w:t>
      </w:r>
      <w:proofErr w:type="spellStart"/>
      <w:r w:rsidR="00200701" w:rsidRPr="00200701">
        <w:rPr>
          <w:i/>
          <w:szCs w:val="24"/>
        </w:rPr>
        <w:t>C</w:t>
      </w:r>
      <w:r w:rsidR="00200701">
        <w:rPr>
          <w:i/>
          <w:szCs w:val="24"/>
        </w:rPr>
        <w:t>athedrale</w:t>
      </w:r>
      <w:proofErr w:type="spellEnd"/>
      <w:r w:rsidR="00200701">
        <w:rPr>
          <w:i/>
          <w:szCs w:val="24"/>
        </w:rPr>
        <w:t xml:space="preserve"> de </w:t>
      </w:r>
      <w:proofErr w:type="spellStart"/>
      <w:r w:rsidR="00200701">
        <w:rPr>
          <w:i/>
          <w:szCs w:val="24"/>
        </w:rPr>
        <w:t>Tolede</w:t>
      </w:r>
      <w:proofErr w:type="spellEnd"/>
      <w:r w:rsidR="00200701">
        <w:rPr>
          <w:i/>
          <w:szCs w:val="24"/>
        </w:rPr>
        <w:t xml:space="preserve"> (1995) </w:t>
      </w:r>
      <w:r w:rsidR="00200701">
        <w:rPr>
          <w:szCs w:val="24"/>
        </w:rPr>
        <w:t xml:space="preserve">e </w:t>
      </w:r>
      <w:proofErr w:type="spellStart"/>
      <w:r w:rsidR="00200701" w:rsidRPr="00200701">
        <w:rPr>
          <w:i/>
          <w:szCs w:val="24"/>
        </w:rPr>
        <w:t>Chants</w:t>
      </w:r>
      <w:proofErr w:type="spellEnd"/>
      <w:r w:rsidR="00200701" w:rsidRPr="00200701">
        <w:rPr>
          <w:i/>
          <w:szCs w:val="24"/>
        </w:rPr>
        <w:t xml:space="preserve"> de </w:t>
      </w:r>
      <w:proofErr w:type="spellStart"/>
      <w:proofErr w:type="gramStart"/>
      <w:r w:rsidR="00200701" w:rsidRPr="00200701">
        <w:rPr>
          <w:i/>
          <w:szCs w:val="24"/>
        </w:rPr>
        <w:t>l'Église</w:t>
      </w:r>
      <w:proofErr w:type="spellEnd"/>
      <w:proofErr w:type="gramEnd"/>
      <w:r w:rsidR="00200701" w:rsidRPr="00200701">
        <w:rPr>
          <w:i/>
          <w:szCs w:val="24"/>
        </w:rPr>
        <w:t xml:space="preserve"> de </w:t>
      </w:r>
      <w:proofErr w:type="spellStart"/>
      <w:r w:rsidR="00200701" w:rsidRPr="00200701">
        <w:rPr>
          <w:i/>
          <w:szCs w:val="24"/>
        </w:rPr>
        <w:t>Rome</w:t>
      </w:r>
      <w:proofErr w:type="spellEnd"/>
      <w:r w:rsidR="00200701" w:rsidRPr="00200701">
        <w:rPr>
          <w:i/>
          <w:szCs w:val="24"/>
        </w:rPr>
        <w:t xml:space="preserve"> - </w:t>
      </w:r>
      <w:proofErr w:type="spellStart"/>
      <w:r w:rsidR="00200701" w:rsidRPr="00200701">
        <w:rPr>
          <w:i/>
          <w:szCs w:val="24"/>
        </w:rPr>
        <w:t>Période</w:t>
      </w:r>
      <w:proofErr w:type="spellEnd"/>
      <w:r w:rsidR="00200701" w:rsidRPr="00200701">
        <w:rPr>
          <w:i/>
          <w:szCs w:val="24"/>
        </w:rPr>
        <w:t xml:space="preserve"> </w:t>
      </w:r>
      <w:proofErr w:type="spellStart"/>
      <w:r w:rsidR="00200701" w:rsidRPr="00200701">
        <w:rPr>
          <w:i/>
          <w:szCs w:val="24"/>
        </w:rPr>
        <w:t>byzantine</w:t>
      </w:r>
      <w:proofErr w:type="spellEnd"/>
      <w:r w:rsidR="00200701">
        <w:rPr>
          <w:i/>
          <w:szCs w:val="24"/>
        </w:rPr>
        <w:t xml:space="preserve"> (1996).</w:t>
      </w:r>
    </w:p>
    <w:p w:rsidR="001A54D0" w:rsidRPr="001A54D0" w:rsidRDefault="001A54D0" w:rsidP="001A54D0">
      <w:pPr>
        <w:rPr>
          <w:szCs w:val="24"/>
        </w:rPr>
      </w:pPr>
      <w:r w:rsidRPr="001A54D0">
        <w:rPr>
          <w:b/>
          <w:szCs w:val="24"/>
        </w:rPr>
        <w:t>Referências bibliográficas.</w:t>
      </w:r>
    </w:p>
    <w:p w:rsidR="001A54D0" w:rsidRPr="00B93A9F" w:rsidRDefault="001A54D0" w:rsidP="001A54D0">
      <w:pPr>
        <w:rPr>
          <w:szCs w:val="24"/>
          <w:lang w:val="en-US"/>
        </w:rPr>
      </w:pPr>
      <w:r w:rsidRPr="00B93A9F">
        <w:rPr>
          <w:szCs w:val="24"/>
          <w:lang w:val="en-US"/>
        </w:rPr>
        <w:t xml:space="preserve">CROCKER, Richard. Before the </w:t>
      </w:r>
      <w:proofErr w:type="spellStart"/>
      <w:r w:rsidRPr="00B93A9F">
        <w:rPr>
          <w:szCs w:val="24"/>
          <w:lang w:val="en-US"/>
        </w:rPr>
        <w:t>begining</w:t>
      </w:r>
      <w:proofErr w:type="spellEnd"/>
      <w:r w:rsidRPr="00B93A9F">
        <w:rPr>
          <w:szCs w:val="24"/>
          <w:lang w:val="en-US"/>
        </w:rPr>
        <w:t xml:space="preserve">: </w:t>
      </w:r>
      <w:proofErr w:type="spellStart"/>
      <w:proofErr w:type="gramStart"/>
      <w:r w:rsidRPr="00B93A9F">
        <w:rPr>
          <w:szCs w:val="24"/>
          <w:lang w:val="en-US"/>
        </w:rPr>
        <w:t>gregorian</w:t>
      </w:r>
      <w:proofErr w:type="spellEnd"/>
      <w:proofErr w:type="gramEnd"/>
      <w:r w:rsidRPr="00B93A9F">
        <w:rPr>
          <w:szCs w:val="24"/>
          <w:lang w:val="en-US"/>
        </w:rPr>
        <w:t xml:space="preserve"> chant. In: </w:t>
      </w:r>
      <w:r w:rsidRPr="00B93A9F">
        <w:rPr>
          <w:i/>
          <w:szCs w:val="24"/>
          <w:lang w:val="en-US"/>
        </w:rPr>
        <w:t>A History of Musical Style</w:t>
      </w:r>
      <w:r w:rsidRPr="00B93A9F">
        <w:rPr>
          <w:szCs w:val="24"/>
          <w:lang w:val="en-US"/>
        </w:rPr>
        <w:t xml:space="preserve">, NY: Dover, 1986, p. 1-24 </w:t>
      </w:r>
    </w:p>
    <w:p w:rsidR="001A54D0" w:rsidRPr="001A54D0" w:rsidRDefault="001A54D0" w:rsidP="001F70F5">
      <w:pPr>
        <w:jc w:val="both"/>
        <w:rPr>
          <w:b/>
          <w:szCs w:val="24"/>
          <w:lang w:val="en-US"/>
        </w:rPr>
      </w:pPr>
    </w:p>
    <w:p w:rsidR="00D67A4A" w:rsidRPr="001A54D0" w:rsidRDefault="00D67A4A" w:rsidP="00D67A4A">
      <w:pPr>
        <w:rPr>
          <w:b/>
          <w:szCs w:val="24"/>
          <w:lang w:val="en-US"/>
        </w:rPr>
      </w:pPr>
    </w:p>
    <w:sectPr w:rsidR="00D67A4A" w:rsidRPr="001A54D0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837"/>
    <w:multiLevelType w:val="hybridMultilevel"/>
    <w:tmpl w:val="CE00836E"/>
    <w:lvl w:ilvl="0" w:tplc="3DF2D2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938"/>
    <w:multiLevelType w:val="hybridMultilevel"/>
    <w:tmpl w:val="330A7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C614F"/>
    <w:rsid w:val="000D0C04"/>
    <w:rsid w:val="001211DC"/>
    <w:rsid w:val="001A54D0"/>
    <w:rsid w:val="001E2099"/>
    <w:rsid w:val="001F5325"/>
    <w:rsid w:val="001F70F5"/>
    <w:rsid w:val="00200701"/>
    <w:rsid w:val="00245CBD"/>
    <w:rsid w:val="002577C4"/>
    <w:rsid w:val="00296A43"/>
    <w:rsid w:val="003E1C7C"/>
    <w:rsid w:val="003F5550"/>
    <w:rsid w:val="004636B3"/>
    <w:rsid w:val="00487417"/>
    <w:rsid w:val="00487EDA"/>
    <w:rsid w:val="004E4CC0"/>
    <w:rsid w:val="00665D04"/>
    <w:rsid w:val="006F1033"/>
    <w:rsid w:val="006F55E1"/>
    <w:rsid w:val="006F7D38"/>
    <w:rsid w:val="00703887"/>
    <w:rsid w:val="00840652"/>
    <w:rsid w:val="00972492"/>
    <w:rsid w:val="00A05BE1"/>
    <w:rsid w:val="00A130DC"/>
    <w:rsid w:val="00A21E9C"/>
    <w:rsid w:val="00A47CCE"/>
    <w:rsid w:val="00A87757"/>
    <w:rsid w:val="00B8141E"/>
    <w:rsid w:val="00B93A9F"/>
    <w:rsid w:val="00C45160"/>
    <w:rsid w:val="00C828C1"/>
    <w:rsid w:val="00CE0BB8"/>
    <w:rsid w:val="00CF66DC"/>
    <w:rsid w:val="00D02C52"/>
    <w:rsid w:val="00D64FB1"/>
    <w:rsid w:val="00D67A4A"/>
    <w:rsid w:val="00EF5553"/>
    <w:rsid w:val="00F007D9"/>
    <w:rsid w:val="00F96474"/>
    <w:rsid w:val="00FA5B2F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Costa Faria</dc:creator>
  <cp:lastModifiedBy>Otávio Costa Faria</cp:lastModifiedBy>
  <cp:revision>7</cp:revision>
  <dcterms:created xsi:type="dcterms:W3CDTF">2016-03-04T13:45:00Z</dcterms:created>
  <dcterms:modified xsi:type="dcterms:W3CDTF">2016-03-04T16:56:00Z</dcterms:modified>
</cp:coreProperties>
</file>