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4"/>
        <w:gridCol w:w="1082"/>
        <w:gridCol w:w="351"/>
        <w:gridCol w:w="687"/>
        <w:gridCol w:w="94"/>
        <w:gridCol w:w="47"/>
        <w:gridCol w:w="2369"/>
        <w:gridCol w:w="3040"/>
        <w:tblGridChange w:id="0">
          <w:tblGrid>
            <w:gridCol w:w="1964"/>
            <w:gridCol w:w="1082"/>
            <w:gridCol w:w="351"/>
            <w:gridCol w:w="687"/>
            <w:gridCol w:w="94"/>
            <w:gridCol w:w="47"/>
            <w:gridCol w:w="2369"/>
            <w:gridCol w:w="3040"/>
          </w:tblGrid>
        </w:tblGridChange>
      </w:tblGrid>
      <w:tr>
        <w:trPr>
          <w:cantSplit w:val="0"/>
          <w:tblHeader w:val="0"/>
        </w:trPr>
        <w:tc>
          <w:tcPr>
            <w:gridSpan w:val="8"/>
            <w:vAlign w:val="center"/>
          </w:tcPr>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ROTEIRO CASO CLÍNICO E OBJETIVOS</w:t>
            </w:r>
          </w:p>
        </w:tc>
      </w:tr>
      <w:tr>
        <w:trPr>
          <w:cantSplit w:val="0"/>
          <w:tblHeader w:val="0"/>
        </w:trPr>
        <w:tc>
          <w:tcPr>
            <w:vAlign w:val="center"/>
          </w:tcPr>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Tema</w:t>
            </w:r>
          </w:p>
        </w:tc>
        <w:tc>
          <w:tcPr>
            <w:gridSpan w:val="7"/>
            <w:vAlign w:val="center"/>
          </w:tcPr>
          <w:p w:rsidR="00000000" w:rsidDel="00000000" w:rsidP="00000000" w:rsidRDefault="00000000" w:rsidRPr="00000000" w14:paraId="0000000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Manejo da hipoglicemia na APS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Responsáveis</w:t>
            </w:r>
          </w:p>
        </w:tc>
        <w:tc>
          <w:tcPr>
            <w:gridSpan w:val="7"/>
            <w:vAlign w:val="center"/>
          </w:tcPr>
          <w:p w:rsidR="00000000" w:rsidDel="00000000" w:rsidP="00000000" w:rsidRDefault="00000000" w:rsidRPr="00000000" w14:paraId="0000001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Karla Lima Leoncio Malundo, Priscila de Castro Segur, Thalita da Silva Ribeiro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Público-alvo</w:t>
            </w:r>
          </w:p>
        </w:tc>
        <w:tc>
          <w:tcPr>
            <w:gridSpan w:val="7"/>
            <w:vAlign w:val="center"/>
          </w:tcPr>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Enfermeiros da APS</w:t>
            </w:r>
            <w:r w:rsidDel="00000000" w:rsidR="00000000" w:rsidRPr="00000000">
              <w:rPr>
                <w:rtl w:val="0"/>
              </w:rPr>
            </w:r>
          </w:p>
        </w:tc>
      </w:tr>
      <w:tr>
        <w:trPr>
          <w:cantSplit w:val="0"/>
          <w:trHeight w:val="337" w:hRule="atLeast"/>
          <w:tblHeader w:val="0"/>
        </w:trPr>
        <w:tc>
          <w:tcPr>
            <w:vMerge w:val="restart"/>
            <w:vAlign w:val="center"/>
          </w:tcPr>
          <w:p w:rsidR="00000000" w:rsidDel="00000000" w:rsidP="00000000" w:rsidRDefault="00000000" w:rsidRPr="00000000" w14:paraId="0000002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 aprendizagem</w:t>
            </w:r>
          </w:p>
        </w:tc>
        <w:tc>
          <w:tcPr>
            <w:gridSpan w:val="4"/>
            <w:vAlign w:val="center"/>
          </w:tcPr>
          <w:p w:rsidR="00000000" w:rsidDel="00000000" w:rsidP="00000000" w:rsidRDefault="00000000" w:rsidRPr="00000000" w14:paraId="0000002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Geral</w:t>
            </w:r>
          </w:p>
        </w:tc>
        <w:tc>
          <w:tcPr>
            <w:gridSpan w:val="3"/>
            <w:vAlign w:val="center"/>
          </w:tcPr>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Assistir o paciente com nível glicêmico </w:t>
            </w:r>
            <w:commentRangeStart w:id="0"/>
            <w:r w:rsidDel="00000000" w:rsidR="00000000" w:rsidRPr="00000000">
              <w:rPr>
                <w:rFonts w:ascii="Times New Roman" w:cs="Times New Roman" w:eastAsia="Times New Roman" w:hAnsi="Times New Roman"/>
                <w:sz w:val="24"/>
                <w:szCs w:val="24"/>
                <w:rtl w:val="0"/>
              </w:rPr>
              <w:t xml:space="preserve">descompensado</w:t>
            </w:r>
            <w:commentRangeEnd w:id="0"/>
            <w:r w:rsidDel="00000000" w:rsidR="00000000" w:rsidRPr="00000000">
              <w:commentReference w:id="0"/>
            </w:r>
            <w:r w:rsidDel="00000000" w:rsidR="00000000" w:rsidRPr="00000000">
              <w:rPr>
                <w:rtl w:val="0"/>
              </w:rPr>
            </w:r>
          </w:p>
        </w:tc>
      </w:tr>
      <w:tr>
        <w:trPr>
          <w:cantSplit w:val="0"/>
          <w:trHeight w:val="336" w:hRule="atLeast"/>
          <w:tblHeader w:val="0"/>
        </w:trPr>
        <w:tc>
          <w:tcPr>
            <w:vMerge w:val="continue"/>
            <w:vAlign w:val="center"/>
          </w:tcPr>
          <w:p w:rsidR="00000000" w:rsidDel="00000000" w:rsidP="00000000" w:rsidRDefault="00000000" w:rsidRPr="00000000" w14:paraId="0000002A">
            <w:pPr>
              <w:widowControl w:val="0"/>
              <w:rPr>
                <w:rFonts w:ascii="Times New Roman" w:cs="Times New Roman" w:eastAsia="Times New Roman" w:hAnsi="Times New Roman"/>
                <w:sz w:val="24"/>
                <w:szCs w:val="24"/>
              </w:rPr>
            </w:pPr>
            <w:r w:rsidDel="00000000" w:rsidR="00000000" w:rsidRPr="00000000">
              <w:rPr>
                <w:rtl w:val="0"/>
              </w:rPr>
            </w:r>
          </w:p>
        </w:tc>
        <w:tc>
          <w:tcPr>
            <w:gridSpan w:val="4"/>
            <w:vMerge w:val="restart"/>
            <w:vAlign w:val="center"/>
          </w:tcPr>
          <w:p w:rsidR="00000000" w:rsidDel="00000000" w:rsidP="00000000" w:rsidRDefault="00000000" w:rsidRPr="00000000" w14:paraId="0000002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Específico</w:t>
            </w:r>
          </w:p>
        </w:tc>
        <w:tc>
          <w:tcPr>
            <w:gridSpan w:val="3"/>
            <w:vAlign w:val="center"/>
          </w:tcPr>
          <w:p w:rsidR="00000000" w:rsidDel="00000000" w:rsidP="00000000" w:rsidRDefault="00000000" w:rsidRPr="00000000" w14:paraId="0000002F">
            <w:pPr>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correlacionar a clínica apresentada com a hipótese de um quadro de hipoglicemia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2">
            <w:pPr>
              <w:widowControl w:val="0"/>
              <w:rPr>
                <w:rFonts w:ascii="Times New Roman" w:cs="Times New Roman" w:eastAsia="Times New Roman" w:hAnsi="Times New Roman"/>
                <w:sz w:val="24"/>
                <w:szCs w:val="24"/>
              </w:rPr>
            </w:pPr>
            <w:r w:rsidDel="00000000" w:rsidR="00000000" w:rsidRPr="00000000">
              <w:rPr>
                <w:rtl w:val="0"/>
              </w:rPr>
            </w:r>
          </w:p>
        </w:tc>
        <w:tc>
          <w:tcPr>
            <w:gridSpan w:val="4"/>
            <w:vMerge w:val="continue"/>
            <w:vAlign w:val="center"/>
          </w:tcPr>
          <w:p w:rsidR="00000000" w:rsidDel="00000000" w:rsidP="00000000" w:rsidRDefault="00000000" w:rsidRPr="00000000" w14:paraId="00000033">
            <w:pPr>
              <w:widowControl w:val="0"/>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exame de glicemia capilar</w:t>
            </w:r>
          </w:p>
        </w:tc>
      </w:tr>
      <w:tr>
        <w:trPr>
          <w:cantSplit w:val="0"/>
          <w:tblHeader w:val="0"/>
        </w:trPr>
        <w:tc>
          <w:tcPr>
            <w:vMerge w:val="continue"/>
            <w:vAlign w:val="center"/>
          </w:tcPr>
          <w:p w:rsidR="00000000" w:rsidDel="00000000" w:rsidP="00000000" w:rsidRDefault="00000000" w:rsidRPr="00000000" w14:paraId="0000003A">
            <w:pPr>
              <w:widowControl w:val="0"/>
              <w:rPr>
                <w:rFonts w:ascii="Times New Roman" w:cs="Times New Roman" w:eastAsia="Times New Roman" w:hAnsi="Times New Roman"/>
                <w:sz w:val="24"/>
                <w:szCs w:val="24"/>
              </w:rPr>
            </w:pPr>
            <w:r w:rsidDel="00000000" w:rsidR="00000000" w:rsidRPr="00000000">
              <w:rPr>
                <w:rtl w:val="0"/>
              </w:rPr>
            </w:r>
          </w:p>
        </w:tc>
        <w:tc>
          <w:tcPr>
            <w:gridSpan w:val="4"/>
            <w:vMerge w:val="continue"/>
            <w:vAlign w:val="center"/>
          </w:tcPr>
          <w:p w:rsidR="00000000" w:rsidDel="00000000" w:rsidP="00000000" w:rsidRDefault="00000000" w:rsidRPr="00000000" w14:paraId="0000003B">
            <w:pPr>
              <w:widowControl w:val="0"/>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avaliar o resultado e estabilizar o quadro clínico da paciente</w:t>
            </w:r>
          </w:p>
        </w:tc>
      </w:tr>
      <w:tr>
        <w:trPr>
          <w:cantSplit w:val="0"/>
          <w:tblHeader w:val="0"/>
        </w:trPr>
        <w:tc>
          <w:tcPr>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Caso/situação clínica</w:t>
            </w:r>
            <w:r w:rsidDel="00000000" w:rsidR="00000000" w:rsidRPr="00000000">
              <w:rPr>
                <w:rtl w:val="0"/>
              </w:rPr>
            </w:r>
          </w:p>
        </w:tc>
        <w:tc>
          <w:tcPr>
            <w:gridSpan w:val="7"/>
            <w:vAlign w:val="center"/>
          </w:tcPr>
          <w:p w:rsidR="00000000" w:rsidDel="00000000" w:rsidP="00000000" w:rsidRDefault="00000000" w:rsidRPr="00000000" w14:paraId="00000043">
            <w:pPr>
              <w:spacing w:after="0" w:before="0" w:line="360" w:lineRule="auto"/>
              <w:jc w:val="both"/>
              <w:rPr>
                <w:rFonts w:ascii="Times New Roman" w:cs="Times New Roman" w:eastAsia="Times New Roman" w:hAnsi="Times New Roman"/>
                <w:sz w:val="24"/>
                <w:szCs w:val="24"/>
              </w:rPr>
            </w:pPr>
            <w:bookmarkStart w:colFirst="0" w:colLast="0" w:name="_5hruslh0uyox" w:id="0"/>
            <w:bookmarkEnd w:id="0"/>
            <w:r w:rsidDel="00000000" w:rsidR="00000000" w:rsidRPr="00000000">
              <w:rPr>
                <w:rFonts w:ascii="Times New Roman" w:cs="Times New Roman" w:eastAsia="Times New Roman" w:hAnsi="Times New Roman"/>
                <w:sz w:val="24"/>
                <w:szCs w:val="24"/>
                <w:rtl w:val="0"/>
              </w:rPr>
              <w:t xml:space="preserve">Paciente ASJ, sexo feminino, 35 anos, procedente de Ribeirão Preto, sem histórico de comorbidades prévias, refere que não faz uso de medicamentos contínuos. Histórico familiar de diabetes, (pai, mãe e avós paternos) e hipertensão. Paciente comparece à unidade básica de saúde para consulta de rotina devido quadro que vem apresentado.</w:t>
            </w:r>
          </w:p>
          <w:p w:rsidR="00000000" w:rsidDel="00000000" w:rsidP="00000000" w:rsidRDefault="00000000" w:rsidRPr="00000000" w14:paraId="00000044">
            <w:pPr>
              <w:spacing w:after="0" w:before="0" w:line="360" w:lineRule="auto"/>
              <w:jc w:val="both"/>
              <w:rPr>
                <w:rFonts w:ascii="Times New Roman" w:cs="Times New Roman" w:eastAsia="Times New Roman" w:hAnsi="Times New Roman"/>
                <w:sz w:val="24"/>
                <w:szCs w:val="24"/>
              </w:rPr>
            </w:pPr>
            <w:bookmarkStart w:colFirst="0" w:colLast="0" w:name="_3jovq6pu7g51" w:id="1"/>
            <w:bookmarkEnd w:id="1"/>
            <w:r w:rsidDel="00000000" w:rsidR="00000000" w:rsidRPr="00000000">
              <w:rPr>
                <w:rFonts w:ascii="Times New Roman" w:cs="Times New Roman" w:eastAsia="Times New Roman" w:hAnsi="Times New Roman"/>
                <w:sz w:val="24"/>
                <w:szCs w:val="24"/>
                <w:rtl w:val="0"/>
              </w:rPr>
              <w:t xml:space="preserve">Ao ser chamada na triagem pela enfermeira da unidade, ASJ refere que buscou a unidade por estar apresentando os seguintes sintomas: poliúria, polifagia, polidipsia e perda de peso considerável, cerca de 6 quilos no último mês. Além disso, relata que no mês anterior tem apresentado quadros de sonolência, sudorese excessiva, episódios esporádicos de náusea, cefaléia, momentos de confusão, cansaço, períodos de tremor, xerostomia e calafrios.</w:t>
            </w:r>
          </w:p>
          <w:p w:rsidR="00000000" w:rsidDel="00000000" w:rsidP="00000000" w:rsidRDefault="00000000" w:rsidRPr="00000000" w14:paraId="00000045">
            <w:pPr>
              <w:spacing w:after="0" w:before="0" w:line="360" w:lineRule="auto"/>
              <w:jc w:val="both"/>
              <w:rPr>
                <w:rFonts w:ascii="Times New Roman" w:cs="Times New Roman" w:eastAsia="Times New Roman" w:hAnsi="Times New Roman"/>
                <w:sz w:val="24"/>
                <w:szCs w:val="24"/>
              </w:rPr>
            </w:pPr>
            <w:bookmarkStart w:colFirst="0" w:colLast="0" w:name="_rast1x27osr9" w:id="2"/>
            <w:bookmarkEnd w:id="2"/>
            <w:r w:rsidDel="00000000" w:rsidR="00000000" w:rsidRPr="00000000">
              <w:rPr>
                <w:rtl w:val="0"/>
              </w:rPr>
            </w:r>
          </w:p>
          <w:p w:rsidR="00000000" w:rsidDel="00000000" w:rsidP="00000000" w:rsidRDefault="00000000" w:rsidRPr="00000000" w14:paraId="00000046">
            <w:pPr>
              <w:spacing w:after="0" w:before="0" w:line="360" w:lineRule="auto"/>
              <w:jc w:val="both"/>
              <w:rPr>
                <w:rFonts w:ascii="Times New Roman" w:cs="Times New Roman" w:eastAsia="Times New Roman" w:hAnsi="Times New Roman"/>
                <w:sz w:val="24"/>
                <w:szCs w:val="24"/>
              </w:rPr>
            </w:pPr>
            <w:bookmarkStart w:colFirst="0" w:colLast="0" w:name="_wfgi397962fi" w:id="3"/>
            <w:bookmarkEnd w:id="3"/>
            <w:r w:rsidDel="00000000" w:rsidR="00000000" w:rsidRPr="00000000">
              <w:rPr>
                <w:rFonts w:ascii="Times New Roman" w:cs="Times New Roman" w:eastAsia="Times New Roman" w:hAnsi="Times New Roman"/>
                <w:sz w:val="24"/>
                <w:szCs w:val="24"/>
                <w:rtl w:val="0"/>
              </w:rPr>
              <w:t xml:space="preserve">Ao aferir os primeiros sinais vitais você, enfermeiro (a), </w:t>
            </w:r>
            <w:r w:rsidDel="00000000" w:rsidR="00000000" w:rsidRPr="00000000">
              <w:rPr>
                <w:rFonts w:ascii="Times New Roman" w:cs="Times New Roman" w:eastAsia="Times New Roman" w:hAnsi="Times New Roman"/>
                <w:sz w:val="24"/>
                <w:szCs w:val="24"/>
                <w:rtl w:val="0"/>
              </w:rPr>
              <w:t xml:space="preserve">identifica</w:t>
            </w:r>
            <w:r w:rsidDel="00000000" w:rsidR="00000000" w:rsidRPr="00000000">
              <w:rPr>
                <w:rFonts w:ascii="Times New Roman" w:cs="Times New Roman" w:eastAsia="Times New Roman" w:hAnsi="Times New Roman"/>
                <w:sz w:val="24"/>
                <w:szCs w:val="24"/>
                <w:rtl w:val="0"/>
              </w:rPr>
              <w:t xml:space="preserve"> que a paciente está apresentando os seguintes dados:</w:t>
            </w:r>
          </w:p>
          <w:p w:rsidR="00000000" w:rsidDel="00000000" w:rsidP="00000000" w:rsidRDefault="00000000" w:rsidRPr="00000000" w14:paraId="00000047">
            <w:pPr>
              <w:spacing w:after="0" w:before="0" w:line="360" w:lineRule="auto"/>
              <w:jc w:val="both"/>
              <w:rPr>
                <w:rFonts w:ascii="Times New Roman" w:cs="Times New Roman" w:eastAsia="Times New Roman" w:hAnsi="Times New Roman"/>
                <w:sz w:val="24"/>
                <w:szCs w:val="24"/>
              </w:rPr>
            </w:pPr>
            <w:bookmarkStart w:colFirst="0" w:colLast="0" w:name="_zd9p3b3w7bpk" w:id="4"/>
            <w:bookmarkEnd w:id="4"/>
            <w:r w:rsidDel="00000000" w:rsidR="00000000" w:rsidRPr="00000000">
              <w:rPr>
                <w:rFonts w:ascii="Times New Roman" w:cs="Times New Roman" w:eastAsia="Times New Roman" w:hAnsi="Times New Roman"/>
                <w:sz w:val="24"/>
                <w:szCs w:val="24"/>
                <w:rtl w:val="0"/>
              </w:rPr>
              <w:t xml:space="preserve">FR: 18 mvp</w:t>
            </w:r>
          </w:p>
          <w:p w:rsidR="00000000" w:rsidDel="00000000" w:rsidP="00000000" w:rsidRDefault="00000000" w:rsidRPr="00000000" w14:paraId="00000048">
            <w:pPr>
              <w:spacing w:after="0" w:before="0" w:line="360" w:lineRule="auto"/>
              <w:jc w:val="both"/>
              <w:rPr>
                <w:rFonts w:ascii="Times New Roman" w:cs="Times New Roman" w:eastAsia="Times New Roman" w:hAnsi="Times New Roman"/>
                <w:sz w:val="24"/>
                <w:szCs w:val="24"/>
              </w:rPr>
            </w:pPr>
            <w:bookmarkStart w:colFirst="0" w:colLast="0" w:name="_74wkv8pzyxl" w:id="5"/>
            <w:bookmarkEnd w:id="5"/>
            <w:r w:rsidDel="00000000" w:rsidR="00000000" w:rsidRPr="00000000">
              <w:rPr>
                <w:rFonts w:ascii="Times New Roman" w:cs="Times New Roman" w:eastAsia="Times New Roman" w:hAnsi="Times New Roman"/>
                <w:sz w:val="24"/>
                <w:szCs w:val="24"/>
                <w:rtl w:val="0"/>
              </w:rPr>
              <w:t xml:space="preserve">PA: 100 X 60 mmHg</w:t>
            </w:r>
          </w:p>
          <w:p w:rsidR="00000000" w:rsidDel="00000000" w:rsidP="00000000" w:rsidRDefault="00000000" w:rsidRPr="00000000" w14:paraId="00000049">
            <w:pPr>
              <w:spacing w:after="0" w:before="0" w:line="360" w:lineRule="auto"/>
              <w:jc w:val="both"/>
              <w:rPr>
                <w:rFonts w:ascii="Times New Roman" w:cs="Times New Roman" w:eastAsia="Times New Roman" w:hAnsi="Times New Roman"/>
                <w:sz w:val="24"/>
                <w:szCs w:val="24"/>
              </w:rPr>
            </w:pPr>
            <w:bookmarkStart w:colFirst="0" w:colLast="0" w:name="_mzemjabdze7i" w:id="6"/>
            <w:bookmarkEnd w:id="6"/>
            <w:r w:rsidDel="00000000" w:rsidR="00000000" w:rsidRPr="00000000">
              <w:rPr>
                <w:rFonts w:ascii="Times New Roman" w:cs="Times New Roman" w:eastAsia="Times New Roman" w:hAnsi="Times New Roman"/>
                <w:sz w:val="24"/>
                <w:szCs w:val="24"/>
                <w:rtl w:val="0"/>
              </w:rPr>
              <w:t xml:space="preserve">FC: 86 bpm</w:t>
            </w:r>
          </w:p>
        </w:tc>
      </w:tr>
    </w:tbl>
    <w:p w:rsidR="00000000" w:rsidDel="00000000" w:rsidP="00000000" w:rsidRDefault="00000000" w:rsidRPr="00000000" w14:paraId="00000050">
      <w:pPr>
        <w:spacing w:after="160" w:line="259" w:lineRule="auto"/>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halita da Silva Ribeiro" w:id="0" w:date="2023-11-30T01:41:13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Optamos por deixar como descompensado e não deixar claro que se trata de uma hipoglicemia, pois um dos objetivos específicos é que o participante da simulação identifique que a descompensação glicêmica é uma hipoglicemia e não uma hiperglicemia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