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4"/>
      </w:tblGrid>
      <w:tr w:rsidR="0064000D" w:rsidRPr="0064000D" w:rsidTr="0064000D">
        <w:trPr>
          <w:tblCellSpacing w:w="0" w:type="dxa"/>
          <w:jc w:val="center"/>
        </w:trPr>
        <w:tc>
          <w:tcPr>
            <w:tcW w:w="4300" w:type="pct"/>
            <w:vAlign w:val="center"/>
            <w:hideMark/>
          </w:tcPr>
          <w:p w:rsidR="0064000D" w:rsidRPr="0064000D" w:rsidRDefault="0064000D" w:rsidP="00DE7D36">
            <w:pPr>
              <w:widowControl w:val="0"/>
              <w:spacing w:before="100" w:beforeAutospacing="1" w:after="100" w:afterAutospacing="1" w:line="240" w:lineRule="auto"/>
              <w:jc w:val="center"/>
              <w:rPr>
                <w:rFonts w:ascii="Times New Roman" w:eastAsia="Times New Roman" w:hAnsi="Times New Roman" w:cs="Times New Roman"/>
                <w:b/>
                <w:smallCaps/>
                <w:color w:val="4F6228" w:themeColor="accent3" w:themeShade="80"/>
                <w:sz w:val="24"/>
                <w:szCs w:val="24"/>
                <w:u w:val="single"/>
                <w:lang w:eastAsia="pt-BR"/>
              </w:rPr>
            </w:pPr>
            <w:r w:rsidRPr="005D01C5">
              <w:rPr>
                <w:rFonts w:ascii="Times New Roman" w:eastAsia="Times New Roman" w:hAnsi="Times New Roman" w:cs="Times New Roman"/>
                <w:b/>
                <w:smallCaps/>
                <w:color w:val="4F6228" w:themeColor="accent3" w:themeShade="80"/>
                <w:sz w:val="24"/>
                <w:szCs w:val="24"/>
                <w:u w:val="single"/>
                <w:lang w:eastAsia="pt-BR"/>
              </w:rPr>
              <w:t>Código Florestal</w:t>
            </w:r>
          </w:p>
        </w:tc>
      </w:tr>
    </w:tbl>
    <w:p w:rsidR="0064000D" w:rsidRPr="0064000D" w:rsidRDefault="00F16D78" w:rsidP="00DE7D36">
      <w:pPr>
        <w:widowControl w:val="0"/>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8" w:history="1">
        <w:r w:rsidR="0064000D" w:rsidRPr="0064000D">
          <w:rPr>
            <w:rFonts w:ascii="Arial" w:eastAsia="Times New Roman" w:hAnsi="Arial" w:cs="Arial"/>
            <w:b/>
            <w:bCs/>
            <w:color w:val="000080"/>
            <w:sz w:val="24"/>
            <w:szCs w:val="24"/>
            <w:u w:val="single"/>
            <w:lang w:eastAsia="pt-BR"/>
          </w:rPr>
          <w:t>LEI Nº 12.651, DE 25 DE MAIO DE 2012.</w:t>
        </w:r>
      </w:hyperlink>
    </w:p>
    <w:p w:rsidR="0064000D" w:rsidRDefault="0064000D" w:rsidP="00DE7D36">
      <w:pPr>
        <w:widowControl w:val="0"/>
        <w:ind w:left="360"/>
        <w:rPr>
          <w:rFonts w:ascii="Times New Roman" w:hAnsi="Times New Roman" w:cs="Times New Roman"/>
          <w:sz w:val="26"/>
          <w:szCs w:val="26"/>
        </w:rPr>
      </w:pPr>
    </w:p>
    <w:p w:rsidR="000F3A6D" w:rsidRPr="0064000D" w:rsidRDefault="000F3A6D" w:rsidP="00DE7D36">
      <w:pPr>
        <w:widowControl w:val="0"/>
        <w:ind w:left="360"/>
        <w:rPr>
          <w:rFonts w:ascii="Times New Roman" w:hAnsi="Times New Roman" w:cs="Times New Roman"/>
          <w:color w:val="FF0000"/>
          <w:sz w:val="24"/>
          <w:szCs w:val="24"/>
        </w:rPr>
      </w:pPr>
      <w:r w:rsidRPr="0064000D">
        <w:rPr>
          <w:rFonts w:ascii="Times New Roman" w:hAnsi="Times New Roman" w:cs="Times New Roman"/>
          <w:color w:val="FF0000"/>
          <w:sz w:val="24"/>
          <w:szCs w:val="24"/>
        </w:rPr>
        <w:t>O regime da propriedade rural no Brasil</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Características;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Limites;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Especificidades no confronto com a propriedade urbana;</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A Função social e as regras constitucionais e legais.</w:t>
      </w:r>
    </w:p>
    <w:p w:rsidR="000F3A6D" w:rsidRPr="0064000D" w:rsidRDefault="000F3A6D" w:rsidP="00DE7D36">
      <w:pPr>
        <w:pStyle w:val="PargrafodaLista"/>
        <w:widowControl w:val="0"/>
        <w:ind w:left="1440"/>
        <w:rPr>
          <w:rFonts w:ascii="Times New Roman" w:hAnsi="Times New Roman" w:cs="Times New Roman"/>
          <w:sz w:val="24"/>
          <w:szCs w:val="24"/>
        </w:rPr>
      </w:pPr>
    </w:p>
    <w:p w:rsidR="000F3A6D" w:rsidRPr="0064000D" w:rsidRDefault="000F3A6D" w:rsidP="00DE7D36">
      <w:pPr>
        <w:widowControl w:val="0"/>
        <w:ind w:left="360"/>
        <w:rPr>
          <w:rFonts w:ascii="Times New Roman" w:hAnsi="Times New Roman" w:cs="Times New Roman"/>
          <w:color w:val="FF0000"/>
          <w:sz w:val="24"/>
          <w:szCs w:val="24"/>
        </w:rPr>
      </w:pPr>
      <w:r w:rsidRPr="0064000D">
        <w:rPr>
          <w:rFonts w:ascii="Times New Roman" w:hAnsi="Times New Roman" w:cs="Times New Roman"/>
          <w:color w:val="FF0000"/>
          <w:sz w:val="24"/>
          <w:szCs w:val="24"/>
        </w:rPr>
        <w:t>Zoneamento ambiental</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As diversas regiões do país e seus biomas;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Critérios de caracterização das regiões.</w:t>
      </w:r>
    </w:p>
    <w:p w:rsidR="000F3A6D" w:rsidRPr="0064000D" w:rsidRDefault="000F3A6D" w:rsidP="00DE7D36">
      <w:pPr>
        <w:pStyle w:val="PargrafodaLista"/>
        <w:widowControl w:val="0"/>
        <w:ind w:left="1440"/>
        <w:rPr>
          <w:rFonts w:ascii="Times New Roman" w:hAnsi="Times New Roman" w:cs="Times New Roman"/>
          <w:sz w:val="24"/>
          <w:szCs w:val="24"/>
        </w:rPr>
      </w:pPr>
    </w:p>
    <w:p w:rsidR="000F3A6D" w:rsidRPr="0064000D" w:rsidRDefault="000F3A6D" w:rsidP="00DE7D36">
      <w:pPr>
        <w:widowControl w:val="0"/>
        <w:ind w:left="360"/>
        <w:rPr>
          <w:rFonts w:ascii="Times New Roman" w:hAnsi="Times New Roman" w:cs="Times New Roman"/>
          <w:color w:val="FF0000"/>
          <w:sz w:val="24"/>
          <w:szCs w:val="24"/>
        </w:rPr>
      </w:pPr>
      <w:r w:rsidRPr="0064000D">
        <w:rPr>
          <w:rFonts w:ascii="Times New Roman" w:hAnsi="Times New Roman" w:cs="Times New Roman"/>
          <w:color w:val="FF0000"/>
          <w:sz w:val="24"/>
          <w:szCs w:val="24"/>
        </w:rPr>
        <w:t>Áreas de proteção permanente</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Finalidades;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Características</w:t>
      </w:r>
    </w:p>
    <w:p w:rsidR="00AF5754" w:rsidRPr="0064000D" w:rsidRDefault="00AF5754" w:rsidP="00DE7D36">
      <w:pPr>
        <w:pStyle w:val="cabea"/>
        <w:widowControl w:val="0"/>
        <w:ind w:left="1440"/>
        <w:jc w:val="center"/>
        <w:rPr>
          <w:rFonts w:ascii="Arial" w:hAnsi="Arial" w:cs="Arial"/>
          <w:color w:val="000000"/>
          <w:sz w:val="18"/>
          <w:szCs w:val="18"/>
        </w:rPr>
      </w:pPr>
      <w:r w:rsidRPr="0064000D">
        <w:rPr>
          <w:rFonts w:ascii="Arial" w:hAnsi="Arial" w:cs="Arial"/>
          <w:color w:val="000000"/>
          <w:sz w:val="18"/>
          <w:szCs w:val="18"/>
        </w:rPr>
        <w:t>CAPÍTULO II</w:t>
      </w:r>
    </w:p>
    <w:p w:rsidR="00AF5754" w:rsidRPr="0064000D" w:rsidRDefault="00AF5754" w:rsidP="00DE7D36">
      <w:pPr>
        <w:pStyle w:val="cabea"/>
        <w:widowControl w:val="0"/>
        <w:ind w:left="1440"/>
        <w:jc w:val="center"/>
        <w:rPr>
          <w:rFonts w:ascii="Arial" w:hAnsi="Arial" w:cs="Arial"/>
          <w:color w:val="000000"/>
          <w:sz w:val="18"/>
          <w:szCs w:val="18"/>
        </w:rPr>
      </w:pPr>
      <w:r w:rsidRPr="0064000D">
        <w:rPr>
          <w:rFonts w:ascii="Arial" w:hAnsi="Arial" w:cs="Arial"/>
          <w:color w:val="000000"/>
          <w:sz w:val="18"/>
          <w:szCs w:val="18"/>
        </w:rPr>
        <w:t>DAS ÁREAS DE PRESERVAÇÃO PERMANENTE</w:t>
      </w:r>
    </w:p>
    <w:p w:rsidR="00AF5754" w:rsidRPr="0064000D" w:rsidRDefault="00AF5754" w:rsidP="00DE7D36">
      <w:pPr>
        <w:pStyle w:val="cabea"/>
        <w:widowControl w:val="0"/>
        <w:ind w:left="1440"/>
        <w:jc w:val="center"/>
        <w:rPr>
          <w:rFonts w:ascii="Arial" w:hAnsi="Arial" w:cs="Arial"/>
          <w:color w:val="000000"/>
          <w:sz w:val="18"/>
          <w:szCs w:val="18"/>
        </w:rPr>
      </w:pPr>
      <w:r w:rsidRPr="0064000D">
        <w:rPr>
          <w:rFonts w:ascii="Arial" w:hAnsi="Arial" w:cs="Arial"/>
          <w:color w:val="000000"/>
          <w:sz w:val="18"/>
          <w:szCs w:val="18"/>
        </w:rPr>
        <w:t>Seção I</w:t>
      </w:r>
    </w:p>
    <w:p w:rsidR="00AF5754" w:rsidRPr="0064000D" w:rsidRDefault="00AF5754" w:rsidP="00DE7D36">
      <w:pPr>
        <w:pStyle w:val="cabea"/>
        <w:widowControl w:val="0"/>
        <w:ind w:left="1080"/>
        <w:jc w:val="center"/>
        <w:rPr>
          <w:rFonts w:ascii="Arial" w:hAnsi="Arial" w:cs="Arial"/>
          <w:color w:val="000000"/>
          <w:sz w:val="18"/>
          <w:szCs w:val="18"/>
        </w:rPr>
      </w:pPr>
      <w:r w:rsidRPr="0064000D">
        <w:rPr>
          <w:rFonts w:ascii="Arial" w:hAnsi="Arial" w:cs="Arial"/>
          <w:color w:val="000000"/>
          <w:sz w:val="18"/>
          <w:szCs w:val="18"/>
        </w:rPr>
        <w:t>Da Delimitação das Áreas de Preservação Permanente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Considera-se Área de Preservação Permanente, em zonas rurais ou urbanas, para os efeitos desta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I - as faixas marginais de qualquer curso d’água natural, desde a borda da calha do leito regular, em largura mínima de:</w:t>
      </w:r>
    </w:p>
    <w:p w:rsidR="00AF5754" w:rsidRPr="0064000D" w:rsidRDefault="00AF5754" w:rsidP="00DE7D36">
      <w:pPr>
        <w:pStyle w:val="texto1"/>
        <w:widowControl w:val="0"/>
        <w:ind w:left="1080"/>
        <w:jc w:val="both"/>
        <w:rPr>
          <w:rFonts w:ascii="Arial" w:hAnsi="Arial" w:cs="Arial"/>
          <w:color w:val="000000"/>
          <w:sz w:val="18"/>
          <w:szCs w:val="18"/>
        </w:rPr>
      </w:pPr>
      <w:bookmarkStart w:id="0" w:name="art4i"/>
      <w:bookmarkEnd w:id="0"/>
      <w:r w:rsidRPr="0064000D">
        <w:rPr>
          <w:rFonts w:ascii="Arial" w:hAnsi="Arial" w:cs="Arial"/>
          <w:color w:val="000000"/>
          <w:sz w:val="18"/>
          <w:szCs w:val="18"/>
        </w:rPr>
        <w:t>I - as faixas marginais de qualquer curso d’água natural perene e intermitente, excluídos os efêmeros, desde a borda da calha do leito regular, em largura mínima de:   </w:t>
      </w:r>
      <w:proofErr w:type="gramStart"/>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9" w:history="1">
        <w:r w:rsidRPr="0064000D">
          <w:rPr>
            <w:rStyle w:val="Hyperlink"/>
            <w:rFonts w:ascii="Arial" w:hAnsi="Arial" w:cs="Arial"/>
            <w:sz w:val="18"/>
            <w:szCs w:val="18"/>
          </w:rPr>
          <w:t>(</w:t>
        </w:r>
        <w:proofErr w:type="gramEnd"/>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 30 (trinta) metros, para os cursos d’água de menos de 10 (dez)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b) 50 (cinquenta) metros, para os cursos d’água que tenham de 10 (dez) a 50 (cinquenta)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c) 100 (cem) metros, para os cursos d’água que tenham de 50 (cinquenta) a 200 (duzentos)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xml:space="preserve">d) 200 (duzentos) metros, para os cursos d’água que tenham de 200 (duzentos) a 600 </w:t>
      </w:r>
      <w:r w:rsidRPr="0064000D">
        <w:rPr>
          <w:rFonts w:ascii="Arial" w:hAnsi="Arial" w:cs="Arial"/>
          <w:color w:val="000000"/>
          <w:sz w:val="18"/>
          <w:szCs w:val="18"/>
        </w:rPr>
        <w:lastRenderedPageBreak/>
        <w:t>(seiscentos)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e) 500 (quinhentos) metros, para os cursos d’água que tenham largura superior a 600 (seiscentos) metros;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 - as áreas no entorno dos lagos e lagoas naturais, em faixa com largura mínima de: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 100 (cem) metros, em zonas rurais, exceto para o corpo d’água com até 20 (vinte) hectares de superfície, cuja faixa marginal será de 50 (cinquenta) metros;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b) 30 (trinta) metros, em zonas urbanas;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III - as áreas no entorno dos reservatórios d’água artificiais, na faixa definida na licença ambiental do empreendimento, observado o disposto nos §§ 1</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e 2</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w:t>
      </w:r>
    </w:p>
    <w:p w:rsidR="00AF5754" w:rsidRPr="0064000D" w:rsidRDefault="00AF5754" w:rsidP="00DE7D36">
      <w:pPr>
        <w:pStyle w:val="texto1"/>
        <w:widowControl w:val="0"/>
        <w:ind w:left="1080"/>
        <w:jc w:val="both"/>
        <w:rPr>
          <w:rFonts w:ascii="Arial" w:hAnsi="Arial" w:cs="Arial"/>
          <w:color w:val="000000"/>
          <w:sz w:val="18"/>
          <w:szCs w:val="18"/>
        </w:rPr>
      </w:pPr>
      <w:bookmarkStart w:id="1" w:name="art4iii"/>
      <w:bookmarkEnd w:id="1"/>
      <w:r w:rsidRPr="0064000D">
        <w:rPr>
          <w:rFonts w:ascii="Arial" w:hAnsi="Arial" w:cs="Arial"/>
          <w:color w:val="000000"/>
          <w:sz w:val="18"/>
          <w:szCs w:val="18"/>
        </w:rPr>
        <w:t xml:space="preserve">III - as áreas no entorno dos reservatórios d’água artificiais, decorrentes de barramento ou represamento de cursos d’água naturais, na faixa definida na licença ambiental do </w:t>
      </w:r>
      <w:proofErr w:type="gramStart"/>
      <w:r w:rsidRPr="0064000D">
        <w:rPr>
          <w:rFonts w:ascii="Arial" w:hAnsi="Arial" w:cs="Arial"/>
          <w:color w:val="000000"/>
          <w:sz w:val="18"/>
          <w:szCs w:val="18"/>
        </w:rPr>
        <w:t>empreendimento;   </w:t>
      </w:r>
      <w:proofErr w:type="gramEnd"/>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10"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IV - as áreas no entorno das nascentes e dos olhos d’água, qualquer que seja a sua situação topográfica, no raio mínimo de 50 (cinquenta) metros;</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bookmarkStart w:id="2" w:name="art4iv"/>
      <w:bookmarkEnd w:id="2"/>
      <w:r w:rsidRPr="0064000D">
        <w:rPr>
          <w:rFonts w:ascii="Arial" w:hAnsi="Arial" w:cs="Arial"/>
          <w:strike/>
          <w:color w:val="000000"/>
          <w:sz w:val="18"/>
          <w:szCs w:val="18"/>
        </w:rPr>
        <w:t>IV – as áreas no entorno das nascentes e dos olhos d’água perenes, qualquer que seja sua situação topográfica, no raio mínimo de 50 (cinquenta) metros;</w:t>
      </w:r>
      <w:r w:rsidRPr="0064000D">
        <w:rPr>
          <w:rStyle w:val="apple-converted-space"/>
          <w:rFonts w:ascii="Arial" w:hAnsi="Arial" w:cs="Arial"/>
          <w:strike/>
          <w:color w:val="000000"/>
          <w:sz w:val="18"/>
          <w:szCs w:val="18"/>
        </w:rPr>
        <w:t> </w:t>
      </w:r>
      <w:hyperlink r:id="rId11"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3" w:name="art4iv."/>
      <w:bookmarkEnd w:id="3"/>
      <w:r w:rsidRPr="0064000D">
        <w:rPr>
          <w:rFonts w:ascii="Arial" w:hAnsi="Arial" w:cs="Arial"/>
          <w:color w:val="000000"/>
          <w:sz w:val="18"/>
          <w:szCs w:val="18"/>
        </w:rPr>
        <w:t xml:space="preserve">IV - as áreas no entorno das nascentes e dos olhos d’água perenes, qualquer que seja sua situação topográfica, no raio mínimo de 50 (cinquenta) </w:t>
      </w:r>
      <w:proofErr w:type="gramStart"/>
      <w:r w:rsidRPr="0064000D">
        <w:rPr>
          <w:rFonts w:ascii="Arial" w:hAnsi="Arial" w:cs="Arial"/>
          <w:color w:val="000000"/>
          <w:sz w:val="18"/>
          <w:szCs w:val="18"/>
        </w:rPr>
        <w:t>metros;   </w:t>
      </w:r>
      <w:proofErr w:type="gramEnd"/>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12"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 - as encostas ou partes destas com declividade superior a 45°, equivalente a 100% (cem por cento) na linha de maior declive;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 - as restingas, como fixadoras de dunas ou estabilizadoras de mangues;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 - os manguezais, em toda a sua extensão;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VIII - as bordas dos tabuleiros ou chapadas, até a linha de ruptura do relevo, em faixa nunca inferior a 100 (cem) metros em projeções horizontais;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IX - no topo de morros, montes, montanhas e serras, com altura mínima de 100 (cem) metros e inclinação média maior que 25°,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X - as áreas em altitude superior a 1.800 (mil e oitocentos) metros, qualquer que seja a vegetação;</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XI - as veredas.</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bookmarkStart w:id="4" w:name="art4xi"/>
      <w:bookmarkEnd w:id="4"/>
      <w:r w:rsidRPr="0064000D">
        <w:rPr>
          <w:rFonts w:ascii="Arial" w:hAnsi="Arial" w:cs="Arial"/>
          <w:strike/>
          <w:color w:val="000000"/>
          <w:sz w:val="18"/>
          <w:szCs w:val="18"/>
        </w:rPr>
        <w:t>XI – em veredas, a faixa marginal, em projeção horizontal, com largura mínima de 50 (cinquenta) metros, a partir do limite do espaço brejoso e encharcado.</w:t>
      </w:r>
      <w:r w:rsidRPr="0064000D">
        <w:rPr>
          <w:rStyle w:val="apple-converted-space"/>
          <w:rFonts w:ascii="Arial" w:hAnsi="Arial" w:cs="Arial"/>
          <w:strike/>
          <w:color w:val="000000"/>
          <w:sz w:val="18"/>
          <w:szCs w:val="18"/>
        </w:rPr>
        <w:t> </w:t>
      </w:r>
      <w:hyperlink r:id="rId13"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5" w:name="art4xi."/>
      <w:bookmarkEnd w:id="5"/>
      <w:r w:rsidRPr="0064000D">
        <w:rPr>
          <w:rFonts w:ascii="Arial" w:hAnsi="Arial" w:cs="Arial"/>
          <w:color w:val="000000"/>
          <w:sz w:val="18"/>
          <w:szCs w:val="18"/>
        </w:rPr>
        <w:t>XI - em veredas, a faixa marginal, em projeção horizontal, com largura mínima de 50 (cinquenta) metros, a partir do espaço permanentemente brejoso e encharcado.     </w:t>
      </w:r>
      <w:r w:rsidRPr="0064000D">
        <w:rPr>
          <w:rStyle w:val="apple-converted-space"/>
          <w:rFonts w:ascii="Arial" w:hAnsi="Arial" w:cs="Arial"/>
          <w:color w:val="000000"/>
          <w:sz w:val="18"/>
          <w:szCs w:val="18"/>
        </w:rPr>
        <w:t> </w:t>
      </w:r>
      <w:hyperlink r:id="rId14"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 1</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Não se aplica o previsto no inciso III nos casos em que os reservatórios artificiais de água não decorram de barramento ou represamento de cursos d’água.</w:t>
      </w:r>
    </w:p>
    <w:p w:rsidR="00AF5754" w:rsidRPr="0064000D" w:rsidRDefault="00AF5754" w:rsidP="00DE7D36">
      <w:pPr>
        <w:pStyle w:val="texto2"/>
        <w:widowControl w:val="0"/>
        <w:spacing w:before="195" w:beforeAutospacing="0" w:after="195" w:afterAutospacing="0"/>
        <w:ind w:left="1080"/>
        <w:jc w:val="both"/>
        <w:rPr>
          <w:rFonts w:ascii="Arial" w:hAnsi="Arial" w:cs="Arial"/>
          <w:color w:val="000000"/>
          <w:sz w:val="18"/>
          <w:szCs w:val="18"/>
        </w:rPr>
      </w:pPr>
      <w:bookmarkStart w:id="6" w:name="art4§1"/>
      <w:bookmarkEnd w:id="6"/>
      <w:r w:rsidRPr="0064000D">
        <w:rPr>
          <w:rFonts w:ascii="Arial" w:hAnsi="Arial" w:cs="Arial"/>
          <w:color w:val="000000"/>
          <w:sz w:val="18"/>
          <w:szCs w:val="18"/>
        </w:rPr>
        <w:lastRenderedPageBreak/>
        <w:t>§ 1</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w:t>
      </w:r>
      <w:proofErr w:type="gramEnd"/>
      <w:r w:rsidRPr="0064000D">
        <w:rPr>
          <w:rFonts w:ascii="Arial" w:hAnsi="Arial" w:cs="Arial"/>
          <w:color w:val="000000"/>
          <w:sz w:val="18"/>
          <w:szCs w:val="18"/>
        </w:rPr>
        <w:t xml:space="preserve"> será exigida Área de Preservação Permanente no entorno de reservatórios artificiais de água que não decorram de barramento ou represamento de cursos d’água naturais.     </w:t>
      </w:r>
      <w:r w:rsidRPr="0064000D">
        <w:rPr>
          <w:rStyle w:val="apple-converted-space"/>
          <w:rFonts w:ascii="Arial" w:hAnsi="Arial" w:cs="Arial"/>
          <w:color w:val="000000"/>
          <w:sz w:val="18"/>
          <w:szCs w:val="18"/>
        </w:rPr>
        <w:t> </w:t>
      </w:r>
      <w:hyperlink r:id="rId15"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2"/>
        <w:widowControl w:val="0"/>
        <w:spacing w:before="195" w:beforeAutospacing="0" w:after="195" w:afterAutospacing="0"/>
        <w:ind w:left="1080"/>
        <w:jc w:val="both"/>
        <w:rPr>
          <w:rFonts w:ascii="Arial" w:hAnsi="Arial" w:cs="Arial"/>
          <w:color w:val="000000"/>
          <w:sz w:val="18"/>
          <w:szCs w:val="18"/>
        </w:rPr>
      </w:pPr>
      <w:r w:rsidRPr="0064000D">
        <w:rPr>
          <w:rFonts w:ascii="Arial" w:hAnsi="Arial" w:cs="Arial"/>
          <w:strike/>
          <w:color w:val="000000"/>
          <w:sz w:val="18"/>
          <w:szCs w:val="18"/>
        </w:rPr>
        <w:t>§ 2</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No entorno dos reservatórios artificiais situados em áreas rurais com até 20 (vinte) hectares de superfície, a área de preservação permanente terá, no mínimo, 15 (quinze) metros.</w:t>
      </w:r>
    </w:p>
    <w:p w:rsidR="00AF5754" w:rsidRPr="0064000D" w:rsidRDefault="00AF5754" w:rsidP="00DE7D36">
      <w:pPr>
        <w:pStyle w:val="texto2"/>
        <w:widowControl w:val="0"/>
        <w:spacing w:before="195" w:beforeAutospacing="0" w:after="195" w:afterAutospacing="0"/>
        <w:ind w:left="1080"/>
        <w:jc w:val="both"/>
        <w:rPr>
          <w:rFonts w:ascii="Arial" w:hAnsi="Arial" w:cs="Arial"/>
          <w:color w:val="000000"/>
          <w:sz w:val="18"/>
          <w:szCs w:val="18"/>
        </w:rPr>
      </w:pPr>
      <w:r w:rsidRPr="0064000D">
        <w:rPr>
          <w:rFonts w:ascii="Arial" w:hAnsi="Arial" w:cs="Arial"/>
          <w:color w:val="000000"/>
          <w:sz w:val="18"/>
          <w:szCs w:val="18"/>
        </w:rPr>
        <w:t>§ 2</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w:t>
      </w:r>
      <w:proofErr w:type="gramEnd"/>
      <w:r w:rsidRPr="0064000D">
        <w:rPr>
          <w:rFonts w:ascii="Arial" w:hAnsi="Arial" w:cs="Arial"/>
          <w:color w:val="000000"/>
          <w:sz w:val="18"/>
          <w:szCs w:val="18"/>
        </w:rPr>
        <w:t>Revogado).     </w:t>
      </w:r>
      <w:r w:rsidRPr="0064000D">
        <w:rPr>
          <w:rStyle w:val="apple-converted-space"/>
          <w:rFonts w:ascii="Arial" w:hAnsi="Arial" w:cs="Arial"/>
          <w:color w:val="000000"/>
          <w:sz w:val="18"/>
          <w:szCs w:val="18"/>
        </w:rPr>
        <w:t> </w:t>
      </w:r>
      <w:hyperlink r:id="rId16"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 4</w:t>
      </w:r>
      <w:proofErr w:type="gramStart"/>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Nas</w:t>
      </w:r>
      <w:proofErr w:type="gramEnd"/>
      <w:r w:rsidRPr="0064000D">
        <w:rPr>
          <w:rFonts w:ascii="Arial" w:hAnsi="Arial" w:cs="Arial"/>
          <w:strike/>
          <w:color w:val="000000"/>
          <w:sz w:val="18"/>
          <w:szCs w:val="18"/>
        </w:rPr>
        <w:t xml:space="preserve"> acumulações naturais ou artificiais de água com superfície inferior a 1 (um) hectare, fica dispensada a reserva da faixa de proteção prevista nos incisos II e III do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caput.</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bookmarkStart w:id="7" w:name="art4§4"/>
      <w:bookmarkEnd w:id="7"/>
      <w:r w:rsidRPr="0064000D">
        <w:rPr>
          <w:rFonts w:ascii="Arial" w:hAnsi="Arial" w:cs="Arial"/>
          <w:strike/>
          <w:color w:val="000000"/>
          <w:sz w:val="18"/>
          <w:szCs w:val="18"/>
        </w:rPr>
        <w:t>§ 4</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Fica dispensado o estabelecimento das faixas de Área de Preservação Permanente no entorno das acumulações naturais ou artificiais de água com superfície inferior a 1 (um) hectare, vedada nova supressão de áreas de vegetação nativa.</w:t>
      </w:r>
      <w:r w:rsidRPr="0064000D">
        <w:rPr>
          <w:rStyle w:val="apple-converted-space"/>
          <w:rFonts w:ascii="Arial" w:hAnsi="Arial" w:cs="Arial"/>
          <w:strike/>
          <w:color w:val="000000"/>
          <w:sz w:val="18"/>
          <w:szCs w:val="18"/>
        </w:rPr>
        <w:t> </w:t>
      </w:r>
      <w:hyperlink r:id="rId17"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8" w:name="art4§4."/>
      <w:bookmarkEnd w:id="8"/>
      <w:r w:rsidRPr="0064000D">
        <w:rPr>
          <w:rFonts w:ascii="Arial" w:hAnsi="Arial" w:cs="Arial"/>
          <w:color w:val="000000"/>
          <w:sz w:val="18"/>
          <w:szCs w:val="18"/>
        </w:rPr>
        <w:t>§ 4</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Nas</w:t>
      </w:r>
      <w:proofErr w:type="gramEnd"/>
      <w:r w:rsidRPr="0064000D">
        <w:rPr>
          <w:rFonts w:ascii="Arial" w:hAnsi="Arial" w:cs="Arial"/>
          <w:color w:val="000000"/>
          <w:sz w:val="18"/>
          <w:szCs w:val="18"/>
        </w:rPr>
        <w:t xml:space="preserve"> acumulações naturais ou artificiais de água com superfície inferior a 1 (um) hectare, fica dispensada a reserva da faixa de proteção prevista nos incisos II e III do</w:t>
      </w:r>
      <w:r w:rsidRPr="0064000D">
        <w:rPr>
          <w:rStyle w:val="apple-converted-space"/>
          <w:rFonts w:ascii="Arial" w:hAnsi="Arial" w:cs="Arial"/>
          <w:color w:val="000000"/>
          <w:sz w:val="18"/>
          <w:szCs w:val="18"/>
        </w:rPr>
        <w:t> </w:t>
      </w:r>
      <w:r w:rsidRPr="0064000D">
        <w:rPr>
          <w:rFonts w:ascii="Arial" w:hAnsi="Arial" w:cs="Arial"/>
          <w:color w:val="000000"/>
          <w:sz w:val="18"/>
          <w:szCs w:val="18"/>
        </w:rPr>
        <w:t xml:space="preserve">caput, vedada nova supressão de áreas de vegetação nativa, salvo autorização do órgão ambiental competente do Sistema Nacional do Meio Ambiente -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18"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5</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w:t>
      </w:r>
      <w:proofErr w:type="gramEnd"/>
      <w:r w:rsidRPr="0064000D">
        <w:rPr>
          <w:rFonts w:ascii="Arial" w:hAnsi="Arial" w:cs="Arial"/>
          <w:color w:val="000000"/>
          <w:sz w:val="18"/>
          <w:szCs w:val="18"/>
        </w:rPr>
        <w:t xml:space="preserve"> admitido, para a pequena propriedade ou posse rural familiar, de que trata o inciso V do art. 3</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desta Lei, o plantio de culturas temporárias e sazonais de vazante de ciclo curto na faixa de terra que fica exposta no período de vazante dos rios ou lagos, desde que não implique supressão de novas áreas de vegetação nativa, seja conservada a qualidade da água e do solo e seja protegida a fauna silvestre.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6</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Nos imóveis rurais com até 15 (quinze) módulos fiscais, é admitida, nas áreas de que tratam os incisos I e II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i/>
          <w:iCs/>
          <w:color w:val="000000"/>
          <w:sz w:val="18"/>
          <w:szCs w:val="18"/>
        </w:rPr>
        <w:t> </w:t>
      </w:r>
      <w:r w:rsidRPr="0064000D">
        <w:rPr>
          <w:rFonts w:ascii="Arial" w:hAnsi="Arial" w:cs="Arial"/>
          <w:color w:val="000000"/>
          <w:sz w:val="18"/>
          <w:szCs w:val="18"/>
        </w:rPr>
        <w:t>deste artigo, a prática da aquicultura e a infraestrutura física diretamente a ela associada, desde que: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 - sejam adotadas práticas sustentáveis de manejo de solo e água e de recursos hídricos, garantindo sua qualidade e quantidade, de acordo com norma dos Conselhos Estaduais de Meio Ambiente;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 - esteja de acordo com os respectivos planos de bacia ou planos de gestão de recursos hídricos;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III - seja realizado o licenciamento pelo órgão ambiental competente;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IV - o imóvel esteja inscrito no Cadastro Ambiental Rural - CAR.</w:t>
      </w:r>
    </w:p>
    <w:p w:rsidR="00AF5754" w:rsidRPr="0064000D" w:rsidRDefault="00AF5754" w:rsidP="00DE7D36">
      <w:pPr>
        <w:pStyle w:val="texto1"/>
        <w:widowControl w:val="0"/>
        <w:ind w:left="1080"/>
        <w:jc w:val="both"/>
        <w:rPr>
          <w:rFonts w:ascii="Arial" w:hAnsi="Arial" w:cs="Arial"/>
          <w:color w:val="000000"/>
          <w:sz w:val="18"/>
          <w:szCs w:val="18"/>
        </w:rPr>
      </w:pPr>
      <w:bookmarkStart w:id="9" w:name="art4§6v"/>
      <w:bookmarkEnd w:id="9"/>
      <w:r w:rsidRPr="0064000D">
        <w:rPr>
          <w:rFonts w:ascii="Arial" w:hAnsi="Arial" w:cs="Arial"/>
          <w:strike/>
          <w:color w:val="000000"/>
          <w:sz w:val="18"/>
          <w:szCs w:val="18"/>
        </w:rPr>
        <w:t>V – não implique novas supressões de vegetação nativa.</w:t>
      </w:r>
      <w:r w:rsidRPr="0064000D">
        <w:rPr>
          <w:rStyle w:val="apple-converted-space"/>
          <w:rFonts w:ascii="Arial" w:hAnsi="Arial" w:cs="Arial"/>
          <w:strike/>
          <w:color w:val="000000"/>
          <w:sz w:val="18"/>
          <w:szCs w:val="18"/>
        </w:rPr>
        <w:t> </w:t>
      </w:r>
      <w:hyperlink r:id="rId19" w:anchor="art1" w:history="1">
        <w:r w:rsidRPr="0064000D">
          <w:rPr>
            <w:rStyle w:val="Hyperlink"/>
            <w:rFonts w:ascii="Arial" w:hAnsi="Arial" w:cs="Arial"/>
            <w:strike/>
            <w:sz w:val="18"/>
            <w:szCs w:val="18"/>
          </w:rPr>
          <w:t>(Incluído pela Medida Provisória nº 571, de 2012).</w:t>
        </w:r>
      </w:hyperlink>
    </w:p>
    <w:bookmarkStart w:id="10" w:name="art4§6v."/>
    <w:bookmarkEnd w:id="10"/>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fldChar w:fldCharType="begin"/>
      </w:r>
      <w:r w:rsidRPr="0064000D">
        <w:rPr>
          <w:rFonts w:ascii="Arial" w:hAnsi="Arial" w:cs="Arial"/>
          <w:color w:val="000000"/>
          <w:sz w:val="18"/>
          <w:szCs w:val="18"/>
        </w:rPr>
        <w:instrText xml:space="preserve"> HYPERLINK "http://www.planalto.gov.br/ccivil_03/_Ato2011-2014/2012/Lei/L12651.htm" \l "art4§6v" </w:instrText>
      </w:r>
      <w:r w:rsidRPr="0064000D">
        <w:rPr>
          <w:rFonts w:ascii="Arial" w:hAnsi="Arial" w:cs="Arial"/>
          <w:color w:val="000000"/>
          <w:sz w:val="18"/>
          <w:szCs w:val="18"/>
        </w:rPr>
        <w:fldChar w:fldCharType="separate"/>
      </w:r>
      <w:r w:rsidRPr="0064000D">
        <w:rPr>
          <w:rStyle w:val="Hyperlink"/>
          <w:rFonts w:ascii="Arial" w:hAnsi="Arial" w:cs="Arial"/>
          <w:color w:val="000000"/>
          <w:sz w:val="18"/>
          <w:szCs w:val="18"/>
        </w:rPr>
        <w:t>V -</w:t>
      </w:r>
      <w:r w:rsidRPr="0064000D">
        <w:rPr>
          <w:rFonts w:ascii="Arial" w:hAnsi="Arial" w:cs="Arial"/>
          <w:color w:val="000000"/>
          <w:sz w:val="18"/>
          <w:szCs w:val="18"/>
        </w:rPr>
        <w:fldChar w:fldCharType="end"/>
      </w:r>
      <w:r w:rsidRPr="0064000D">
        <w:rPr>
          <w:rStyle w:val="apple-converted-space"/>
          <w:rFonts w:ascii="Arial" w:hAnsi="Arial" w:cs="Arial"/>
          <w:color w:val="000000"/>
          <w:sz w:val="18"/>
          <w:szCs w:val="18"/>
        </w:rPr>
        <w:t> </w:t>
      </w:r>
      <w:r w:rsidRPr="0064000D">
        <w:rPr>
          <w:rFonts w:ascii="Arial" w:hAnsi="Arial" w:cs="Arial"/>
          <w:color w:val="000000"/>
          <w:sz w:val="18"/>
          <w:szCs w:val="18"/>
        </w:rPr>
        <w:t>não implique novas supressões de vegetação nativa.     </w:t>
      </w:r>
      <w:r w:rsidRPr="0064000D">
        <w:rPr>
          <w:rStyle w:val="apple-converted-space"/>
          <w:rFonts w:ascii="Arial" w:hAnsi="Arial" w:cs="Arial"/>
          <w:color w:val="000000"/>
          <w:sz w:val="18"/>
          <w:szCs w:val="18"/>
        </w:rPr>
        <w:t> </w:t>
      </w:r>
      <w:hyperlink r:id="rId20"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7</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8</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ind w:left="1080"/>
        <w:jc w:val="both"/>
        <w:rPr>
          <w:rFonts w:ascii="Arial" w:hAnsi="Arial" w:cs="Arial"/>
          <w:color w:val="000000"/>
          <w:sz w:val="18"/>
          <w:szCs w:val="18"/>
        </w:rPr>
      </w:pPr>
      <w:bookmarkStart w:id="11" w:name="art4§9"/>
      <w:bookmarkEnd w:id="11"/>
      <w:r w:rsidRPr="0064000D">
        <w:rPr>
          <w:rFonts w:ascii="Arial" w:hAnsi="Arial" w:cs="Arial"/>
          <w:strike/>
          <w:color w:val="000000"/>
          <w:sz w:val="18"/>
          <w:szCs w:val="18"/>
        </w:rPr>
        <w:t>§ 9</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Em áreas urbanas,</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shd w:val="clear" w:color="auto" w:fill="FFFFFF"/>
        </w:rPr>
        <w:t>assim entendidas as áreas compreendidas nos perímetros urbanos definidos por lei municipal,  e nas  regiões  metropolitanas e aglomerações urbanas,</w:t>
      </w:r>
      <w:r w:rsidRPr="0064000D">
        <w:rPr>
          <w:rStyle w:val="apple-converted-space"/>
          <w:rFonts w:ascii="Arial" w:hAnsi="Arial" w:cs="Arial"/>
          <w:strike/>
          <w:color w:val="000000"/>
          <w:sz w:val="18"/>
          <w:szCs w:val="18"/>
          <w:shd w:val="clear" w:color="auto" w:fill="FFFFFF"/>
        </w:rPr>
        <w:t> </w:t>
      </w:r>
      <w:r w:rsidRPr="0064000D">
        <w:rPr>
          <w:rFonts w:ascii="Arial" w:hAnsi="Arial" w:cs="Arial"/>
          <w:strike/>
          <w:color w:val="000000"/>
          <w:sz w:val="18"/>
          <w:szCs w:val="18"/>
        </w:rPr>
        <w:t xml:space="preserve">as faixas marginais de qualquer curso d’água natural que delimitem as áreas da faixa de passagem de inundação terão sua largura determinada pelos respectivos Planos Diretores e Leis de Uso </w:t>
      </w:r>
      <w:r w:rsidRPr="0064000D">
        <w:rPr>
          <w:rFonts w:ascii="Arial" w:hAnsi="Arial" w:cs="Arial"/>
          <w:strike/>
          <w:color w:val="000000"/>
          <w:sz w:val="18"/>
          <w:szCs w:val="18"/>
        </w:rPr>
        <w:lastRenderedPageBreak/>
        <w:t>do Solo, ouvidos os Conselhos Estaduais e Municipais de Meio Ambiente, sem prejuízo dos limites estabelecidos pelo inciso I do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Fonts w:ascii="Arial" w:hAnsi="Arial" w:cs="Arial"/>
          <w:strike/>
          <w:color w:val="000000"/>
          <w:sz w:val="18"/>
          <w:szCs w:val="18"/>
        </w:rPr>
        <w:t>.</w:t>
      </w:r>
      <w:r w:rsidRPr="0064000D">
        <w:rPr>
          <w:rStyle w:val="apple-converted-space"/>
          <w:rFonts w:ascii="Arial" w:hAnsi="Arial" w:cs="Arial"/>
          <w:strike/>
          <w:color w:val="000000"/>
          <w:sz w:val="18"/>
          <w:szCs w:val="18"/>
        </w:rPr>
        <w:t> </w:t>
      </w:r>
      <w:hyperlink r:id="rId21"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12" w:name="art4§9."/>
      <w:bookmarkEnd w:id="12"/>
      <w:r w:rsidRPr="0064000D">
        <w:rPr>
          <w:rFonts w:ascii="Arial" w:hAnsi="Arial" w:cs="Arial"/>
          <w:color w:val="000000"/>
          <w:sz w:val="18"/>
          <w:szCs w:val="18"/>
        </w:rPr>
        <w:t>§ 9</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w:t>
      </w:r>
      <w:proofErr w:type="gramEnd"/>
      <w:r w:rsidRPr="0064000D">
        <w:rPr>
          <w:rFonts w:ascii="Arial" w:hAnsi="Arial" w:cs="Arial"/>
          <w:color w:val="000000"/>
          <w:sz w:val="18"/>
          <w:szCs w:val="18"/>
        </w:rPr>
        <w:t>VETADO).     </w:t>
      </w:r>
      <w:r w:rsidRPr="0064000D">
        <w:rPr>
          <w:rStyle w:val="apple-converted-space"/>
          <w:rFonts w:ascii="Arial" w:hAnsi="Arial" w:cs="Arial"/>
          <w:color w:val="000000"/>
          <w:sz w:val="18"/>
          <w:szCs w:val="18"/>
        </w:rPr>
        <w:t> </w:t>
      </w:r>
      <w:hyperlink r:id="rId22"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 xml:space="preserve">§ 10. No caso de áreas urbanas, assim entendidas as compreendidas nos perímetros urbanos definidos por lei </w:t>
      </w:r>
      <w:proofErr w:type="gramStart"/>
      <w:r w:rsidRPr="0064000D">
        <w:rPr>
          <w:rFonts w:ascii="Arial" w:hAnsi="Arial" w:cs="Arial"/>
          <w:strike/>
          <w:color w:val="000000"/>
          <w:sz w:val="18"/>
          <w:szCs w:val="18"/>
        </w:rPr>
        <w:t>municipal,  e</w:t>
      </w:r>
      <w:proofErr w:type="gramEnd"/>
      <w:r w:rsidRPr="0064000D">
        <w:rPr>
          <w:rFonts w:ascii="Arial" w:hAnsi="Arial" w:cs="Arial"/>
          <w:strike/>
          <w:color w:val="000000"/>
          <w:sz w:val="18"/>
          <w:szCs w:val="18"/>
        </w:rPr>
        <w:t xml:space="preserve"> nas  regiões  metropolitanas e aglomerações urbanas, observar-se-á o disposto nos respectivos Planos Diretores e Leis Municipais de Uso do Solo, sem prejuízo do disposto nos incisos do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Fonts w:ascii="Arial" w:hAnsi="Arial" w:cs="Arial"/>
          <w:strike/>
          <w:color w:val="000000"/>
          <w:sz w:val="18"/>
          <w:szCs w:val="18"/>
        </w:rPr>
        <w:t>.</w:t>
      </w:r>
      <w:r w:rsidRPr="0064000D">
        <w:rPr>
          <w:rStyle w:val="apple-converted-space"/>
          <w:rFonts w:ascii="Arial" w:hAnsi="Arial" w:cs="Arial"/>
          <w:strike/>
          <w:color w:val="000000"/>
          <w:sz w:val="18"/>
          <w:szCs w:val="18"/>
        </w:rPr>
        <w:t> </w:t>
      </w:r>
      <w:hyperlink r:id="rId23"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Art. 5</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em área urbana.</w:t>
      </w:r>
    </w:p>
    <w:p w:rsidR="00AF5754" w:rsidRPr="0064000D" w:rsidRDefault="00AF5754" w:rsidP="00DE7D36">
      <w:pPr>
        <w:pStyle w:val="texto1"/>
        <w:widowControl w:val="0"/>
        <w:spacing w:before="0" w:beforeAutospacing="0" w:after="195" w:afterAutospacing="0"/>
        <w:ind w:left="1080"/>
        <w:jc w:val="both"/>
        <w:rPr>
          <w:rFonts w:ascii="Arial" w:hAnsi="Arial" w:cs="Arial"/>
          <w:color w:val="000000"/>
          <w:sz w:val="18"/>
          <w:szCs w:val="18"/>
        </w:rPr>
      </w:pPr>
      <w:bookmarkStart w:id="13" w:name="art5"/>
      <w:bookmarkEnd w:id="13"/>
      <w:r w:rsidRPr="0064000D">
        <w:rPr>
          <w:rFonts w:ascii="Arial" w:hAnsi="Arial" w:cs="Arial"/>
          <w:strike/>
          <w:color w:val="000000"/>
          <w:sz w:val="18"/>
          <w:szCs w:val="18"/>
        </w:rPr>
        <w:t>Art. 5</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w:t>
      </w:r>
      <w:r w:rsidRPr="0064000D">
        <w:rPr>
          <w:rStyle w:val="apple-converted-space"/>
          <w:rFonts w:ascii="Arial" w:hAnsi="Arial" w:cs="Arial"/>
          <w:strike/>
          <w:color w:val="000000"/>
          <w:sz w:val="18"/>
          <w:szCs w:val="18"/>
        </w:rPr>
        <w:t> </w:t>
      </w:r>
      <w:hyperlink r:id="rId24" w:anchor="art1" w:history="1">
        <w:r w:rsidRPr="0064000D">
          <w:rPr>
            <w:rStyle w:val="Hyperlink"/>
            <w:rFonts w:ascii="Arial" w:hAnsi="Arial" w:cs="Arial"/>
            <w:strike/>
            <w:sz w:val="18"/>
            <w:szCs w:val="18"/>
          </w:rPr>
          <w:t>(Redação dada pela Medida Provisória nº 571, de 2012).</w:t>
        </w:r>
      </w:hyperlink>
    </w:p>
    <w:bookmarkStart w:id="14" w:name="art5."/>
    <w:bookmarkEnd w:id="14"/>
    <w:p w:rsidR="00AF5754" w:rsidRPr="0064000D" w:rsidRDefault="00AF5754" w:rsidP="00DE7D36">
      <w:pPr>
        <w:pStyle w:val="texto1"/>
        <w:widowControl w:val="0"/>
        <w:spacing w:before="0" w:beforeAutospacing="0" w:after="195" w:afterAutospacing="0"/>
        <w:ind w:left="1080"/>
        <w:jc w:val="both"/>
        <w:rPr>
          <w:rFonts w:ascii="Arial" w:hAnsi="Arial" w:cs="Arial"/>
          <w:color w:val="000000"/>
          <w:sz w:val="18"/>
          <w:szCs w:val="18"/>
        </w:rPr>
      </w:pPr>
      <w:r w:rsidRPr="0064000D">
        <w:rPr>
          <w:rFonts w:ascii="Arial" w:hAnsi="Arial" w:cs="Arial"/>
          <w:color w:val="000000"/>
          <w:sz w:val="18"/>
          <w:szCs w:val="18"/>
        </w:rPr>
        <w:fldChar w:fldCharType="begin"/>
      </w:r>
      <w:r w:rsidRPr="0064000D">
        <w:rPr>
          <w:rFonts w:ascii="Arial" w:hAnsi="Arial" w:cs="Arial"/>
          <w:color w:val="000000"/>
          <w:sz w:val="18"/>
          <w:szCs w:val="18"/>
        </w:rPr>
        <w:instrText xml:space="preserve"> HYPERLINK "http://www.planalto.gov.br/ccivil_03/_Ato2011-2014/2012/Lei/L12651.htm" \l "art5" </w:instrText>
      </w:r>
      <w:r w:rsidRPr="0064000D">
        <w:rPr>
          <w:rFonts w:ascii="Arial" w:hAnsi="Arial" w:cs="Arial"/>
          <w:color w:val="000000"/>
          <w:sz w:val="18"/>
          <w:szCs w:val="18"/>
        </w:rPr>
        <w:fldChar w:fldCharType="separate"/>
      </w:r>
      <w:r w:rsidRPr="0064000D">
        <w:rPr>
          <w:rStyle w:val="Hyperlink"/>
          <w:rFonts w:ascii="Arial" w:hAnsi="Arial" w:cs="Arial"/>
          <w:color w:val="000000"/>
          <w:sz w:val="18"/>
          <w:szCs w:val="18"/>
        </w:rPr>
        <w:t>Art. 5</w:t>
      </w:r>
      <w:r w:rsidRPr="0064000D">
        <w:rPr>
          <w:rFonts w:ascii="Arial" w:hAnsi="Arial" w:cs="Arial"/>
          <w:color w:val="000000"/>
          <w:sz w:val="18"/>
          <w:szCs w:val="18"/>
        </w:rPr>
        <w:fldChar w:fldCharType="end"/>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     </w:t>
      </w:r>
      <w:r w:rsidRPr="0064000D">
        <w:rPr>
          <w:rStyle w:val="apple-converted-space"/>
          <w:rFonts w:ascii="Arial" w:hAnsi="Arial" w:cs="Arial"/>
          <w:color w:val="000000"/>
          <w:sz w:val="18"/>
          <w:szCs w:val="18"/>
        </w:rPr>
        <w:t> </w:t>
      </w:r>
      <w:hyperlink r:id="rId25"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 1</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Na implantação de reservatórios d’água artificiais de que trata 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caput, o empreendedor, no âmbito do licenciamento ambiental, elaborará Plano Ambiental de Conservação e Uso do Entorno do Reservatório, em conformidade com termo de referência expedido pelo órgão competente do Sistema Nacional do Meio Ambiente - SISNAMA, não podendo exceder a 10% (dez por cento) da área total do entorno.</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 1</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Na implantação de reservatórios d’água artificiais de que trata 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Fonts w:ascii="Arial" w:hAnsi="Arial" w:cs="Arial"/>
          <w:strike/>
          <w:color w:val="000000"/>
          <w:sz w:val="18"/>
          <w:szCs w:val="18"/>
        </w:rPr>
        <w:t>, o empreendedor, no âmbito do licenciamento ambiental, elaborará Plano Ambiental de Conservação e Uso do Entorno do Reservatório, em conformidade com termo de referência expedido pelo órgão competente do Sistema Nacional do Meio Ambiente – SISNAMA, não podendo exceder a dez por cento do total da Área de Preservação Permanente.</w:t>
      </w:r>
      <w:r w:rsidRPr="0064000D">
        <w:rPr>
          <w:rStyle w:val="apple-converted-space"/>
          <w:rFonts w:ascii="Arial" w:hAnsi="Arial" w:cs="Arial"/>
          <w:strike/>
          <w:color w:val="000000"/>
          <w:sz w:val="18"/>
          <w:szCs w:val="18"/>
        </w:rPr>
        <w:t> </w:t>
      </w:r>
      <w:hyperlink r:id="rId26"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Na implantação de reservatórios d’água artificiais de que trata o</w:t>
      </w:r>
      <w:r w:rsidRPr="0064000D">
        <w:rPr>
          <w:rStyle w:val="apple-converted-space"/>
          <w:rFonts w:ascii="Arial" w:hAnsi="Arial" w:cs="Arial"/>
          <w:color w:val="000000"/>
          <w:sz w:val="18"/>
          <w:szCs w:val="18"/>
        </w:rPr>
        <w:t> </w:t>
      </w:r>
      <w:r w:rsidRPr="0064000D">
        <w:rPr>
          <w:rFonts w:ascii="Arial" w:hAnsi="Arial" w:cs="Arial"/>
          <w:color w:val="000000"/>
          <w:sz w:val="18"/>
          <w:szCs w:val="18"/>
        </w:rPr>
        <w:t xml:space="preserve">caput, o empreendedor, no âmbito do licenciamento ambiental, elaborará Plano Ambiental de Conservação e Uso do Entorno do Reservatório, em conformidade com termo de referência expedido pelo órgão competente do Sistema Nacional do Meio Ambiente -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não podendo o uso exceder a 10% (dez por cento) do total da Área de Preservação Permanente.     </w:t>
      </w:r>
      <w:hyperlink r:id="rId27"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Plano Ambiental de Conservação e Uso do Entorno de Reservatório Artificial, para os empreendimentos licitados a partir da vigência desta Lei, deverá ser apresentado ao órgão ambiental concomitantemente com o Plano Básico Ambiental e aprovado até o início da operação do empreendimento, não constituindo a sua ausência impedimento para a expedição da licença de instalação.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6</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Consideram-se, ainda, de preservação permanente, quando declaradas de interesse social por ato do Chefe do Poder Executivo, as áreas cobertas com florestas ou outras formas de vegetação destinadas a uma ou mais das seguintes finalidades: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lastRenderedPageBreak/>
        <w:t>I - conter a erosão do solo e mitigar riscos de enchentes e deslizamentos de terra e de rocha;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 - proteger as restingas ou veredas;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III - proteger várzeas;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IV - abrigar exemplares da fauna ou da flora ameaçados de extinção;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 - proteger sítios de excepcional beleza ou de valor científico, cultural ou histórico;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 - formar faixas de proteção ao longo de rodovias e ferrovias;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 - assegurar condições de bem-estar público; </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VIII - auxiliar a defesa do território nacional, a critério das autoridades militares.</w:t>
      </w:r>
    </w:p>
    <w:p w:rsidR="00AF5754" w:rsidRPr="0064000D" w:rsidRDefault="00AF5754" w:rsidP="00DE7D36">
      <w:pPr>
        <w:pStyle w:val="texto1"/>
        <w:widowControl w:val="0"/>
        <w:ind w:left="1080"/>
        <w:jc w:val="both"/>
        <w:rPr>
          <w:rFonts w:ascii="Arial" w:hAnsi="Arial" w:cs="Arial"/>
          <w:color w:val="000000"/>
          <w:sz w:val="18"/>
          <w:szCs w:val="18"/>
        </w:rPr>
      </w:pPr>
      <w:bookmarkStart w:id="15" w:name="art6ix"/>
      <w:bookmarkEnd w:id="15"/>
      <w:r w:rsidRPr="0064000D">
        <w:rPr>
          <w:rFonts w:ascii="Arial" w:hAnsi="Arial" w:cs="Arial"/>
          <w:strike/>
          <w:color w:val="000000"/>
          <w:sz w:val="18"/>
          <w:szCs w:val="18"/>
        </w:rPr>
        <w:t>IX – proteger áreas úmidas, especialmente as de importância internacional.</w:t>
      </w:r>
      <w:r w:rsidRPr="0064000D">
        <w:rPr>
          <w:rStyle w:val="apple-converted-space"/>
          <w:rFonts w:ascii="Arial" w:hAnsi="Arial" w:cs="Arial"/>
          <w:strike/>
          <w:color w:val="000000"/>
          <w:sz w:val="18"/>
          <w:szCs w:val="18"/>
        </w:rPr>
        <w:t> </w:t>
      </w:r>
      <w:hyperlink r:id="rId28"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16" w:name="art6ix."/>
      <w:bookmarkEnd w:id="16"/>
      <w:r w:rsidRPr="0064000D">
        <w:rPr>
          <w:rFonts w:ascii="Arial" w:hAnsi="Arial" w:cs="Arial"/>
          <w:color w:val="000000"/>
          <w:sz w:val="18"/>
          <w:szCs w:val="18"/>
        </w:rPr>
        <w:t> </w:t>
      </w:r>
      <w:hyperlink r:id="rId29" w:anchor="art6ix" w:history="1">
        <w:r w:rsidRPr="0064000D">
          <w:rPr>
            <w:rStyle w:val="Hyperlink"/>
            <w:rFonts w:ascii="Arial" w:hAnsi="Arial" w:cs="Arial"/>
            <w:color w:val="000000"/>
            <w:sz w:val="18"/>
            <w:szCs w:val="18"/>
          </w:rPr>
          <w:t>IX -</w:t>
        </w:r>
      </w:hyperlink>
      <w:r w:rsidRPr="0064000D">
        <w:rPr>
          <w:rStyle w:val="apple-converted-space"/>
          <w:rFonts w:ascii="Arial" w:hAnsi="Arial" w:cs="Arial"/>
          <w:color w:val="000000"/>
          <w:sz w:val="18"/>
          <w:szCs w:val="18"/>
        </w:rPr>
        <w:t> </w:t>
      </w:r>
      <w:r w:rsidRPr="0064000D">
        <w:rPr>
          <w:rFonts w:ascii="Arial" w:hAnsi="Arial" w:cs="Arial"/>
          <w:color w:val="000000"/>
          <w:sz w:val="18"/>
          <w:szCs w:val="18"/>
        </w:rPr>
        <w:t>proteger áreas úmidas, especialmente as de importância internacional.     </w:t>
      </w:r>
      <w:r w:rsidRPr="0064000D">
        <w:rPr>
          <w:rStyle w:val="apple-converted-space"/>
          <w:rFonts w:ascii="Arial" w:hAnsi="Arial" w:cs="Arial"/>
          <w:color w:val="000000"/>
          <w:sz w:val="18"/>
          <w:szCs w:val="18"/>
        </w:rPr>
        <w:t> </w:t>
      </w:r>
      <w:hyperlink r:id="rId30" w:history="1">
        <w:r w:rsidRPr="0064000D">
          <w:rPr>
            <w:rStyle w:val="Hyperlink"/>
            <w:rFonts w:ascii="Arial" w:hAnsi="Arial" w:cs="Arial"/>
            <w:sz w:val="18"/>
            <w:szCs w:val="18"/>
          </w:rPr>
          <w:t>(Incluído pela Lei nº 12.727, de 2012).</w:t>
        </w:r>
      </w:hyperlink>
    </w:p>
    <w:p w:rsidR="00AF5754" w:rsidRPr="0064000D" w:rsidRDefault="00AF5754" w:rsidP="00DE7D36">
      <w:pPr>
        <w:pStyle w:val="cabea"/>
        <w:widowControl w:val="0"/>
        <w:ind w:left="1080"/>
        <w:jc w:val="center"/>
        <w:rPr>
          <w:rFonts w:ascii="Arial" w:hAnsi="Arial" w:cs="Arial"/>
          <w:color w:val="000000"/>
          <w:sz w:val="18"/>
          <w:szCs w:val="18"/>
        </w:rPr>
      </w:pPr>
      <w:r w:rsidRPr="0064000D">
        <w:rPr>
          <w:rFonts w:ascii="Arial" w:hAnsi="Arial" w:cs="Arial"/>
          <w:color w:val="000000"/>
          <w:sz w:val="18"/>
          <w:szCs w:val="18"/>
        </w:rPr>
        <w:t>Seção II</w:t>
      </w:r>
    </w:p>
    <w:p w:rsidR="00AF5754" w:rsidRPr="0064000D" w:rsidRDefault="00AF5754" w:rsidP="00DE7D36">
      <w:pPr>
        <w:pStyle w:val="cabea"/>
        <w:widowControl w:val="0"/>
        <w:ind w:left="1080"/>
        <w:jc w:val="center"/>
        <w:rPr>
          <w:rFonts w:ascii="Arial" w:hAnsi="Arial" w:cs="Arial"/>
          <w:color w:val="000000"/>
          <w:sz w:val="18"/>
          <w:szCs w:val="18"/>
        </w:rPr>
      </w:pPr>
      <w:r w:rsidRPr="0064000D">
        <w:rPr>
          <w:rFonts w:ascii="Arial" w:hAnsi="Arial" w:cs="Arial"/>
          <w:color w:val="000000"/>
          <w:sz w:val="18"/>
          <w:szCs w:val="18"/>
        </w:rPr>
        <w:t>Do Regime de Proteção das Áreas de Preservação Permanente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7</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vegetação situada em Área de Preservação Permanente deverá ser mantida pelo proprietário da área, possuidor ou ocupante a qualquer título, pessoa física ou jurídica, de direito público ou privado.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Tendo ocorrido supressão de vegetação situada em Área de Preservação Permanente, o proprietário da área, possuidor ou ocupante a qualquer título é obrigado a promover a recomposição da vegetação, ressalvados os usos autorizados previstos nesta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obrigação prevista no § 1</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tem natureza real e é transmitida ao sucessor no caso de transferência de domínio ou posse do imóvel rural.</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w:t>
      </w:r>
      <w:proofErr w:type="gramEnd"/>
      <w:r w:rsidRPr="0064000D">
        <w:rPr>
          <w:rFonts w:ascii="Arial" w:hAnsi="Arial" w:cs="Arial"/>
          <w:color w:val="000000"/>
          <w:sz w:val="18"/>
          <w:szCs w:val="18"/>
        </w:rPr>
        <w:t xml:space="preserve"> caso de supressão não autorizada de vegetação realizada após 22 de julho de 2008, é vedada a concessão de novas autorizações de supressão de vegetação enquanto não cumpridas as obrigações previstas no §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8</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w:t>
      </w:r>
      <w:proofErr w:type="gramEnd"/>
      <w:r w:rsidRPr="0064000D">
        <w:rPr>
          <w:rFonts w:ascii="Arial" w:hAnsi="Arial" w:cs="Arial"/>
          <w:color w:val="000000"/>
          <w:sz w:val="18"/>
          <w:szCs w:val="18"/>
        </w:rPr>
        <w:t xml:space="preserve"> intervenção ou a supressão de vegetação nativa em Área de Preservação Permanente somente ocorrerá nas hipóteses de utilidade pública, de interesse social ou de baixo impacto ambiental previstas nesta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1</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w:t>
      </w:r>
      <w:proofErr w:type="gramEnd"/>
      <w:r w:rsidRPr="0064000D">
        <w:rPr>
          <w:rFonts w:ascii="Arial" w:hAnsi="Arial" w:cs="Arial"/>
          <w:color w:val="000000"/>
          <w:sz w:val="18"/>
          <w:szCs w:val="18"/>
        </w:rPr>
        <w:t xml:space="preserve"> supressão de vegetação nativa protetora de nascentes, dunas e restingas somente poderá ser autorizada em caso de utilidade pública.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intervenção ou a supressão de vegetação nativa em Área de Preservação Permanente de que tratam os incisos VI e VII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i/>
          <w:iCs/>
          <w:color w:val="000000"/>
          <w:sz w:val="18"/>
          <w:szCs w:val="18"/>
        </w:rPr>
        <w:t> </w:t>
      </w:r>
      <w:r w:rsidRPr="0064000D">
        <w:rPr>
          <w:rFonts w:ascii="Arial" w:hAnsi="Arial" w:cs="Arial"/>
          <w:color w:val="000000"/>
          <w:sz w:val="18"/>
          <w:szCs w:val="18"/>
        </w:rPr>
        <w:t>do art. 4</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poderá ser autorizada, excepcionalmente, em locais onde a função ecológica do manguezal esteja comprometida, para execução de obras habitacionais e de urbanização, inseridas em projetos de regularização fundiária de interesse social, em áreas urbanas consolidadas ocupadas por população de baixa renda.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 dispensada a autorização do órgão ambiental competente para a execução, em caráter de urgência, de atividades de segurança nacional e obras de interesse da defesa civil destinadas à prevenção e mitigação de acidentes em áreas urbanas.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lastRenderedPageBreak/>
        <w: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 haverá, em qualquer hipótese, direito à regularização de futuras intervenções ou supressões de vegetação nativa, além das previstas nesta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9</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 permitido o acesso de pessoas e animais às Áreas de Preservação Permanente para obtenção de água e para realização de atividades de baixo impacto ambiental.</w:t>
      </w:r>
    </w:p>
    <w:p w:rsidR="000F3A6D" w:rsidRDefault="000F3A6D" w:rsidP="00DE7D36">
      <w:pPr>
        <w:widowControl w:val="0"/>
        <w:rPr>
          <w:rFonts w:ascii="Times New Roman" w:hAnsi="Times New Roman" w:cs="Times New Roman"/>
          <w:sz w:val="26"/>
          <w:szCs w:val="26"/>
        </w:rPr>
      </w:pP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AMBIENTAL E PROCESSUAL CIVIL. AÇÃO CIVIL PÚBLICA. OCUPAÇÃO E EDIFICAÇÃO EM ÁREA DE PRESERVAÇÃO PERMANENTE-APP. CASAS DE VERANEIO. MARGENS DO RIO IVINHEMA/MS. SUPRESSÃO DE MATA CILIAR.</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DESCABIMENTO.</w:t>
      </w:r>
      <w:r w:rsidR="00285254">
        <w:rPr>
          <w:rFonts w:ascii="Times New Roman" w:hAnsi="Times New Roman" w:cs="Times New Roman"/>
          <w:b/>
          <w:color w:val="943634" w:themeColor="accent2" w:themeShade="BF"/>
        </w:rPr>
        <w:t xml:space="preserve"> </w:t>
      </w:r>
      <w:r w:rsidRPr="003456BE">
        <w:rPr>
          <w:rFonts w:ascii="Times New Roman" w:hAnsi="Times New Roman" w:cs="Times New Roman"/>
          <w:b/>
          <w:color w:val="943634" w:themeColor="accent2" w:themeShade="BF"/>
        </w:rPr>
        <w:t>ART. 8º DA LEI 12.651/2012. NÃO ENQUADRAMENTO. DIREITO ADQUIRIDO AO POLUIDOR. FATO CONSUMADO. DESCABIMENTO. DESAPROPRIAÇÃO NÃO CONFIGURADA. LIMITAÇÃO ADMINISTRATIVA. DANO AMBIENTAL E NEXO DE CAUSALIDADE CONFIGURADOS. AUSÊNCIA DE PREQUESTIONAMENTO. SÚMULA 211/STJ.</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1. Descabida a supressão de vegetação em Área de Preservação Permanente - APP que não se enquadra nas hipóteses previstas no art.</w:t>
      </w:r>
      <w:r w:rsidR="00285254">
        <w:rPr>
          <w:rFonts w:ascii="Times New Roman" w:hAnsi="Times New Roman" w:cs="Times New Roman"/>
          <w:b/>
          <w:color w:val="943634" w:themeColor="accent2" w:themeShade="BF"/>
        </w:rPr>
        <w:t xml:space="preserve"> </w:t>
      </w:r>
      <w:r w:rsidRPr="003456BE">
        <w:rPr>
          <w:rFonts w:ascii="Times New Roman" w:hAnsi="Times New Roman" w:cs="Times New Roman"/>
          <w:b/>
          <w:color w:val="943634" w:themeColor="accent2" w:themeShade="BF"/>
        </w:rPr>
        <w:t>8º do Código Florestal (utilidade pública, interesse social e baixo impacto ambiental).</w:t>
      </w:r>
    </w:p>
    <w:p w:rsidR="003456BE" w:rsidRPr="003456BE" w:rsidRDefault="003456BE" w:rsidP="00285254">
      <w:pPr>
        <w:widowControl w:val="0"/>
        <w:spacing w:line="240" w:lineRule="auto"/>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2. Conquanto não se possa conferir ao direito fundamental do meio ambiente equilibrado a característica de direito absoluto, certo é que ele se insere entre os direitos indisponíveis, devendo-se acentuar a imprescritibilidade de sua reparação, e a sua inalienabilidade, já que se trata de bem de uso comum do povo (art.</w:t>
      </w:r>
    </w:p>
    <w:p w:rsidR="003456BE" w:rsidRPr="003456BE" w:rsidRDefault="003456BE" w:rsidP="00285254">
      <w:pPr>
        <w:widowControl w:val="0"/>
        <w:spacing w:line="240" w:lineRule="auto"/>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225, caput, da CF/1988).</w:t>
      </w:r>
    </w:p>
    <w:p w:rsidR="003456BE" w:rsidRPr="003456BE" w:rsidRDefault="003456BE" w:rsidP="00285254">
      <w:pPr>
        <w:widowControl w:val="0"/>
        <w:spacing w:line="240" w:lineRule="auto"/>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3. Em tema de direito ambiental, não se cogita em direito adquirido à devastação, nem se admite a incidência da teoria do fato consumado. Precedentes do STJ e STF.</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highlight w:val="yellow"/>
        </w:rPr>
        <w:t>4. A proteção legal às áreas de preservação permanente não importa em vedação absoluta ao direito de propriedade e, por consequência, não resulta em hipótese de desapropriação, mas configura mera limitação administrativa. Precedente do STJ.</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5. Violado o art. 14, § 1º, da Lei 6.938/1981, pois o Tribunal de origem reconheceu a ocorrência do dano ambiental e o nexo causal (ligação entre a sua ocorrência e a fonte poluidora), mas afastou o dever de promover a recuperação da área afetada e indenizar eventuais danos remanescentes.</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6. Em que pese ao loteamento em questão haver sido concedido licenciamento ambiental, tal fato, por si só, não elide a responsabilidade pela reparação do dano causado ao meio ambiente, uma vez afastada a legalidade da autorização administrativa.</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7. É inadmissível o recurso especial quanto a questão não decidida pelo Tribunal de origem, por falta de prequestionamento (Súmula 211/STJ).</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8. Recurso especial parcialmente conhecido e provido.</w:t>
      </w:r>
    </w:p>
    <w:p w:rsidR="003456BE" w:rsidRPr="003456BE" w:rsidRDefault="003456BE"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w:t>
      </w:r>
      <w:proofErr w:type="spellStart"/>
      <w:r w:rsidRPr="003456BE">
        <w:rPr>
          <w:rFonts w:ascii="Times New Roman" w:hAnsi="Times New Roman" w:cs="Times New Roman"/>
          <w:b/>
          <w:color w:val="943634" w:themeColor="accent2" w:themeShade="BF"/>
        </w:rPr>
        <w:t>REsp</w:t>
      </w:r>
      <w:proofErr w:type="spellEnd"/>
      <w:r w:rsidRPr="003456BE">
        <w:rPr>
          <w:rFonts w:ascii="Times New Roman" w:hAnsi="Times New Roman" w:cs="Times New Roman"/>
          <w:b/>
          <w:color w:val="943634" w:themeColor="accent2" w:themeShade="BF"/>
        </w:rPr>
        <w:t xml:space="preserve"> 1394025/MS, Rel. Ministra ELIANA CALMON, SEGUNDA TURMA, julgado em 08/10/2013, </w:t>
      </w:r>
      <w:proofErr w:type="spellStart"/>
      <w:r w:rsidRPr="003456BE">
        <w:rPr>
          <w:rFonts w:ascii="Times New Roman" w:hAnsi="Times New Roman" w:cs="Times New Roman"/>
          <w:b/>
          <w:color w:val="943634" w:themeColor="accent2" w:themeShade="BF"/>
        </w:rPr>
        <w:t>DJe</w:t>
      </w:r>
      <w:proofErr w:type="spellEnd"/>
      <w:r w:rsidRPr="003456BE">
        <w:rPr>
          <w:rFonts w:ascii="Times New Roman" w:hAnsi="Times New Roman" w:cs="Times New Roman"/>
          <w:b/>
          <w:color w:val="943634" w:themeColor="accent2" w:themeShade="BF"/>
        </w:rPr>
        <w:t xml:space="preserve"> 18/10/2013)</w:t>
      </w:r>
    </w:p>
    <w:p w:rsidR="003456BE" w:rsidRDefault="003456BE" w:rsidP="00DE7D36">
      <w:pPr>
        <w:widowControl w:val="0"/>
        <w:ind w:left="360"/>
        <w:rPr>
          <w:rFonts w:ascii="Times New Roman" w:hAnsi="Times New Roman" w:cs="Times New Roman"/>
          <w:sz w:val="26"/>
          <w:szCs w:val="26"/>
        </w:rPr>
      </w:pP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PROCESSUAL CIVIL. DESAPROPRIAÇÃO. INDENIZAÇÃO. COBERTURA FLORÍSTICA.</w:t>
      </w:r>
      <w:r w:rsidR="00285254">
        <w:rPr>
          <w:rFonts w:ascii="Times New Roman" w:hAnsi="Times New Roman" w:cs="Times New Roman"/>
          <w:b/>
          <w:color w:val="365F91" w:themeColor="accent1" w:themeShade="BF"/>
        </w:rPr>
        <w:t xml:space="preserve"> </w:t>
      </w:r>
      <w:r w:rsidRPr="003456BE">
        <w:rPr>
          <w:rFonts w:ascii="Times New Roman" w:hAnsi="Times New Roman" w:cs="Times New Roman"/>
          <w:b/>
          <w:color w:val="365F91" w:themeColor="accent1" w:themeShade="BF"/>
        </w:rPr>
        <w:t>RESERVA LEGAL OU PRESERVAÇÃO PERMANENTE. OBSCURIDADE QUANTO À CLASSIFICAÇÃO DA ÁREA INDENIZADA.</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1. Hipótese em que o juiz de primeira instância, apesar de inexistir exploração da área, resolveu fixar indenização por "lucros cessantes" no que se refere à cobertura florística. Diante da divergência sobre o valor das matas localizadas em Área de Preservação Permanente e Reserva Legal, o magistrado decidiu pela metade da indenização (50% do valor que as matas teriam sem as restrições legais).</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2. O acórdão recorrido manteve a sentença de maneira obscura, pois confundiu os conceitos de Área de Preservação Permanente e de Reserva Legal. Referiu-se àquela como a correspondente a 20% da área total do imóvel, nos termos do art. 16 do Código Florestal.</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lastRenderedPageBreak/>
        <w:t xml:space="preserve">3. O Estado, em seus </w:t>
      </w:r>
      <w:proofErr w:type="spellStart"/>
      <w:r w:rsidRPr="003456BE">
        <w:rPr>
          <w:rFonts w:ascii="Times New Roman" w:hAnsi="Times New Roman" w:cs="Times New Roman"/>
          <w:b/>
          <w:color w:val="365F91" w:themeColor="accent1" w:themeShade="BF"/>
        </w:rPr>
        <w:t>aclaratórios</w:t>
      </w:r>
      <w:proofErr w:type="spellEnd"/>
      <w:r w:rsidRPr="003456BE">
        <w:rPr>
          <w:rFonts w:ascii="Times New Roman" w:hAnsi="Times New Roman" w:cs="Times New Roman"/>
          <w:b/>
          <w:color w:val="365F91" w:themeColor="accent1" w:themeShade="BF"/>
        </w:rPr>
        <w:t>, apontou a obscuridade, pois o mencionado dispositivo legal veda expressamente a exploração das Áreas de Preservação Permanente. Ademais, os 20% referem-se à Reserva Legal (e não à Área de Preservação Permanente), na redação do dispositivo anterior à MP 2.166-67/2001.</w:t>
      </w:r>
    </w:p>
    <w:p w:rsidR="003456BE" w:rsidRPr="003456BE" w:rsidRDefault="003456BE" w:rsidP="00285254">
      <w:pPr>
        <w:widowControl w:val="0"/>
        <w:spacing w:line="240" w:lineRule="auto"/>
        <w:rPr>
          <w:rFonts w:ascii="Times New Roman" w:hAnsi="Times New Roman" w:cs="Times New Roman"/>
          <w:b/>
          <w:color w:val="365F91" w:themeColor="accent1" w:themeShade="BF"/>
          <w:highlight w:val="yellow"/>
        </w:rPr>
      </w:pPr>
      <w:r w:rsidRPr="003456BE">
        <w:rPr>
          <w:rFonts w:ascii="Times New Roman" w:hAnsi="Times New Roman" w:cs="Times New Roman"/>
          <w:b/>
          <w:color w:val="365F91" w:themeColor="accent1" w:themeShade="BF"/>
          <w:highlight w:val="yellow"/>
        </w:rPr>
        <w:t xml:space="preserve">4. É firme a jurisprudência do STJ sobre a </w:t>
      </w:r>
      <w:proofErr w:type="spellStart"/>
      <w:r w:rsidRPr="003456BE">
        <w:rPr>
          <w:rFonts w:ascii="Times New Roman" w:hAnsi="Times New Roman" w:cs="Times New Roman"/>
          <w:b/>
          <w:color w:val="365F91" w:themeColor="accent1" w:themeShade="BF"/>
          <w:highlight w:val="yellow"/>
        </w:rPr>
        <w:t>inindenizabilidade</w:t>
      </w:r>
      <w:proofErr w:type="spellEnd"/>
      <w:r w:rsidRPr="003456BE">
        <w:rPr>
          <w:rFonts w:ascii="Times New Roman" w:hAnsi="Times New Roman" w:cs="Times New Roman"/>
          <w:b/>
          <w:color w:val="365F91" w:themeColor="accent1" w:themeShade="BF"/>
          <w:highlight w:val="yellow"/>
        </w:rPr>
        <w:t>, como regra, das Áreas de Preservação Permanente, já que não passíveis de exploração econômica direta. Por sua vez, a Reserva Legal, onde se encontra vedado o corte raso da vegetação nativa, não pode ser indenizada como se fosse terra de livre exploração econômica. Cabe, nesse caso, ao proprietário provar o uso lícito.</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highlight w:val="yellow"/>
        </w:rPr>
        <w:t>5. O esclarecimento é essencial para a pretensão do Estado, pois não há como compreender a que se refere a indenização das florestas (Área de Preservação Permanente ou de Reserva Legal), considerando que o montante indenizatório fixado pelo juiz de origem e mantido pelo TJ é composto de 96% pelo valor da cobertura florística. Ofensa ao art. 535 do CPC.</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 xml:space="preserve">6. Romano Guerra e outros também opuseram </w:t>
      </w:r>
      <w:proofErr w:type="spellStart"/>
      <w:r w:rsidRPr="003456BE">
        <w:rPr>
          <w:rFonts w:ascii="Times New Roman" w:hAnsi="Times New Roman" w:cs="Times New Roman"/>
          <w:b/>
          <w:color w:val="365F91" w:themeColor="accent1" w:themeShade="BF"/>
        </w:rPr>
        <w:t>aclaratórios</w:t>
      </w:r>
      <w:proofErr w:type="spellEnd"/>
      <w:r w:rsidRPr="003456BE">
        <w:rPr>
          <w:rFonts w:ascii="Times New Roman" w:hAnsi="Times New Roman" w:cs="Times New Roman"/>
          <w:b/>
          <w:color w:val="365F91" w:themeColor="accent1" w:themeShade="BF"/>
        </w:rPr>
        <w:t xml:space="preserve"> e pediram esclarecimento a respeito da mesma questão (os 50% indenizatórios sobre as florestas), ainda que sua pretensão seja oposta (majoração da indenização).</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 xml:space="preserve">7. Recursos Especiais do Estado de São Paulo e de Romano Guerra e outros providos. Recurso Especial do Clube de Campo Caça e Pesca do </w:t>
      </w:r>
      <w:proofErr w:type="spellStart"/>
      <w:r w:rsidRPr="003456BE">
        <w:rPr>
          <w:rFonts w:ascii="Times New Roman" w:hAnsi="Times New Roman" w:cs="Times New Roman"/>
          <w:b/>
          <w:color w:val="365F91" w:themeColor="accent1" w:themeShade="BF"/>
        </w:rPr>
        <w:t>Guaraú</w:t>
      </w:r>
      <w:proofErr w:type="spellEnd"/>
      <w:r w:rsidRPr="003456BE">
        <w:rPr>
          <w:rFonts w:ascii="Times New Roman" w:hAnsi="Times New Roman" w:cs="Times New Roman"/>
          <w:b/>
          <w:color w:val="365F91" w:themeColor="accent1" w:themeShade="BF"/>
        </w:rPr>
        <w:t xml:space="preserve"> prejudicado.</w:t>
      </w:r>
    </w:p>
    <w:p w:rsidR="003456BE" w:rsidRPr="003456BE" w:rsidRDefault="003456BE" w:rsidP="00285254">
      <w:pPr>
        <w:widowControl w:val="0"/>
        <w:spacing w:line="240" w:lineRule="auto"/>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w:t>
      </w:r>
      <w:proofErr w:type="spellStart"/>
      <w:r w:rsidRPr="003456BE">
        <w:rPr>
          <w:rFonts w:ascii="Times New Roman" w:hAnsi="Times New Roman" w:cs="Times New Roman"/>
          <w:b/>
          <w:color w:val="365F91" w:themeColor="accent1" w:themeShade="BF"/>
        </w:rPr>
        <w:t>REsp</w:t>
      </w:r>
      <w:proofErr w:type="spellEnd"/>
      <w:r w:rsidRPr="003456BE">
        <w:rPr>
          <w:rFonts w:ascii="Times New Roman" w:hAnsi="Times New Roman" w:cs="Times New Roman"/>
          <w:b/>
          <w:color w:val="365F91" w:themeColor="accent1" w:themeShade="BF"/>
        </w:rPr>
        <w:t xml:space="preserve"> 146.356/SP, Rel. Ministro HERMAN BENJAMIN, SEGUNDA TURMA, julgado em 20/08/2009, </w:t>
      </w:r>
      <w:proofErr w:type="spellStart"/>
      <w:r w:rsidRPr="003456BE">
        <w:rPr>
          <w:rFonts w:ascii="Times New Roman" w:hAnsi="Times New Roman" w:cs="Times New Roman"/>
          <w:b/>
          <w:color w:val="365F91" w:themeColor="accent1" w:themeShade="BF"/>
        </w:rPr>
        <w:t>DJe</w:t>
      </w:r>
      <w:proofErr w:type="spellEnd"/>
      <w:r w:rsidRPr="003456BE">
        <w:rPr>
          <w:rFonts w:ascii="Times New Roman" w:hAnsi="Times New Roman" w:cs="Times New Roman"/>
          <w:b/>
          <w:color w:val="365F91" w:themeColor="accent1" w:themeShade="BF"/>
        </w:rPr>
        <w:t xml:space="preserve"> 15/12/2009)</w:t>
      </w:r>
    </w:p>
    <w:p w:rsidR="003456BE" w:rsidRDefault="003456BE" w:rsidP="00DE7D36">
      <w:pPr>
        <w:widowControl w:val="0"/>
        <w:ind w:left="360"/>
        <w:rPr>
          <w:rFonts w:ascii="Times New Roman" w:hAnsi="Times New Roman" w:cs="Times New Roman"/>
          <w:sz w:val="26"/>
          <w:szCs w:val="26"/>
        </w:rPr>
      </w:pPr>
    </w:p>
    <w:p w:rsidR="000F3A6D" w:rsidRPr="0064000D" w:rsidRDefault="000F3A6D" w:rsidP="00DE7D36">
      <w:pPr>
        <w:widowControl w:val="0"/>
        <w:ind w:left="360"/>
        <w:rPr>
          <w:rFonts w:ascii="Times New Roman" w:hAnsi="Times New Roman" w:cs="Times New Roman"/>
          <w:color w:val="FF0000"/>
          <w:sz w:val="26"/>
          <w:szCs w:val="26"/>
        </w:rPr>
      </w:pPr>
      <w:r w:rsidRPr="0064000D">
        <w:rPr>
          <w:rFonts w:ascii="Times New Roman" w:hAnsi="Times New Roman" w:cs="Times New Roman"/>
          <w:color w:val="FF0000"/>
          <w:sz w:val="26"/>
          <w:szCs w:val="26"/>
        </w:rPr>
        <w:t>Reservas legais</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Finalidades;</w:t>
      </w:r>
    </w:p>
    <w:p w:rsidR="000F3A6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Características.</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CAPÍTULO IV</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DA ÁREA DE RESERVA LEGAL</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Seção I</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Da Delimitação da Área de Reserva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Art. 12.  Todo imóvel rural deve manter área com cobertura de vegetação nativa, a título de Reserva Legal, sem prejuízo da aplicação das normas sobre as Áreas de Preservação Permanente, observados os seguintes percentuais mínimos em relação à área do imóvel:</w:t>
      </w:r>
    </w:p>
    <w:p w:rsidR="00AF5754" w:rsidRPr="0064000D" w:rsidRDefault="00AF5754" w:rsidP="00DE7D36">
      <w:pPr>
        <w:pStyle w:val="texto1"/>
        <w:widowControl w:val="0"/>
        <w:ind w:left="370"/>
        <w:jc w:val="both"/>
        <w:rPr>
          <w:rFonts w:ascii="Arial" w:hAnsi="Arial" w:cs="Arial"/>
          <w:color w:val="000000"/>
          <w:sz w:val="18"/>
          <w:szCs w:val="18"/>
        </w:rPr>
      </w:pPr>
      <w:bookmarkStart w:id="17" w:name="art12"/>
      <w:bookmarkEnd w:id="17"/>
      <w:r w:rsidRPr="0064000D">
        <w:rPr>
          <w:rFonts w:ascii="Arial" w:hAnsi="Arial" w:cs="Arial"/>
          <w:color w:val="000000"/>
          <w:sz w:val="18"/>
          <w:szCs w:val="18"/>
        </w:rPr>
        <w:t>Art. 12.  Todo imóvel rural deve manter área com cobertura de vegetação nativa, a título de Reserva Legal, sem prejuízo da aplicação das normas sobre as Áreas de Preservação Permanente, observados os seguintes percentuais mínimos em relação à área do imóvel, excetuados os casos previstos no art. 68 desta Lei:   </w:t>
      </w:r>
      <w:proofErr w:type="gramStart"/>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31" w:history="1">
        <w:r w:rsidRPr="0064000D">
          <w:rPr>
            <w:rStyle w:val="Hyperlink"/>
            <w:rFonts w:ascii="Arial" w:hAnsi="Arial" w:cs="Arial"/>
            <w:sz w:val="18"/>
            <w:szCs w:val="18"/>
          </w:rPr>
          <w:t>(</w:t>
        </w:r>
        <w:proofErr w:type="gramEnd"/>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localizado na Amazônia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 80% (oitenta por cento), no imóvel situado em área de florestas;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b) 35% (trinta e cinco por cento), no imóvel situado em área de cerrado;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c) 20% (vinte por cento), no imóvel situado em área de campos gerais;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localizado nas demais regiões do País: 20% (vinte por cento).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lastRenderedPageBreak/>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Em caso de fracionamento do imóvel rural, a qualquer título, inclusive para assentamentos pelo Programa de Reforma Agrária, será considerada, para fins do disposto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 a área do imóvel antes do fracionamento.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percentual de Reserva Legal em imóvel situado em área de formações florestais, de cerrado ou de campos gerais na Amazônia Legal será definido considerando separadamente os índices contidos nas alíneas</w:t>
      </w:r>
      <w:r w:rsidRPr="0064000D">
        <w:rPr>
          <w:rStyle w:val="apple-converted-space"/>
          <w:rFonts w:ascii="Arial" w:hAnsi="Arial" w:cs="Arial"/>
          <w:color w:val="000000"/>
          <w:sz w:val="18"/>
          <w:szCs w:val="18"/>
        </w:rPr>
        <w:t> </w:t>
      </w:r>
      <w:r w:rsidRPr="0064000D">
        <w:rPr>
          <w:rFonts w:ascii="Arial" w:hAnsi="Arial" w:cs="Arial"/>
          <w:i/>
          <w:iCs/>
          <w:color w:val="000000"/>
          <w:sz w:val="18"/>
          <w:szCs w:val="18"/>
        </w:rPr>
        <w:t>a</w:t>
      </w:r>
      <w:r w:rsidRPr="0064000D">
        <w:rPr>
          <w:rFonts w:ascii="Arial" w:hAnsi="Arial" w:cs="Arial"/>
          <w:color w:val="000000"/>
          <w:sz w:val="18"/>
          <w:szCs w:val="18"/>
        </w:rPr>
        <w:t>,</w:t>
      </w:r>
      <w:r w:rsidRPr="0064000D">
        <w:rPr>
          <w:rStyle w:val="apple-converted-space"/>
          <w:rFonts w:ascii="Arial" w:hAnsi="Arial" w:cs="Arial"/>
          <w:i/>
          <w:iCs/>
          <w:color w:val="000000"/>
          <w:sz w:val="18"/>
          <w:szCs w:val="18"/>
        </w:rPr>
        <w:t> </w:t>
      </w:r>
      <w:r w:rsidRPr="0064000D">
        <w:rPr>
          <w:rFonts w:ascii="Arial" w:hAnsi="Arial" w:cs="Arial"/>
          <w:i/>
          <w:iCs/>
          <w:color w:val="000000"/>
          <w:sz w:val="18"/>
          <w:szCs w:val="18"/>
        </w:rPr>
        <w:t>b</w:t>
      </w:r>
      <w:r w:rsidRPr="0064000D">
        <w:rPr>
          <w:rStyle w:val="apple-converted-space"/>
          <w:rFonts w:ascii="Arial" w:hAnsi="Arial" w:cs="Arial"/>
          <w:color w:val="000000"/>
          <w:sz w:val="18"/>
          <w:szCs w:val="18"/>
        </w:rPr>
        <w:t> </w:t>
      </w:r>
      <w:proofErr w:type="spellStart"/>
      <w:r w:rsidRPr="0064000D">
        <w:rPr>
          <w:rFonts w:ascii="Arial" w:hAnsi="Arial" w:cs="Arial"/>
          <w:color w:val="000000"/>
          <w:sz w:val="18"/>
          <w:szCs w:val="18"/>
        </w:rPr>
        <w:t>e</w:t>
      </w:r>
      <w:r w:rsidRPr="0064000D">
        <w:rPr>
          <w:rFonts w:ascii="Arial" w:hAnsi="Arial" w:cs="Arial"/>
          <w:i/>
          <w:iCs/>
          <w:color w:val="000000"/>
          <w:sz w:val="18"/>
          <w:szCs w:val="18"/>
        </w:rPr>
        <w:t>c</w:t>
      </w:r>
      <w:proofErr w:type="spellEnd"/>
      <w:r w:rsidRPr="0064000D">
        <w:rPr>
          <w:rStyle w:val="apple-converted-space"/>
          <w:rFonts w:ascii="Arial" w:hAnsi="Arial" w:cs="Arial"/>
          <w:color w:val="000000"/>
          <w:sz w:val="18"/>
          <w:szCs w:val="18"/>
        </w:rPr>
        <w:t> </w:t>
      </w:r>
      <w:r w:rsidRPr="0064000D">
        <w:rPr>
          <w:rFonts w:ascii="Arial" w:hAnsi="Arial" w:cs="Arial"/>
          <w:color w:val="000000"/>
          <w:sz w:val="18"/>
          <w:szCs w:val="18"/>
        </w:rPr>
        <w:t>do inciso 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Após a implantação do CAR, a supressão de novas áreas de floresta ou outras formas de vegetação nativa apenas será autorizada pelo órgão ambiental estadual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xml:space="preserve"> se o imóvel estiver inserido no mencionado cadastro, ressalvado o previsto no art. 30.</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Nos casos da alínea</w:t>
      </w:r>
      <w:r w:rsidRPr="0064000D">
        <w:rPr>
          <w:rStyle w:val="apple-converted-space"/>
          <w:rFonts w:ascii="Arial" w:hAnsi="Arial" w:cs="Arial"/>
          <w:color w:val="000000"/>
          <w:sz w:val="18"/>
          <w:szCs w:val="18"/>
        </w:rPr>
        <w:t> </w:t>
      </w:r>
      <w:r w:rsidRPr="0064000D">
        <w:rPr>
          <w:rFonts w:ascii="Arial" w:hAnsi="Arial" w:cs="Arial"/>
          <w:i/>
          <w:iCs/>
          <w:color w:val="000000"/>
          <w:sz w:val="18"/>
          <w:szCs w:val="18"/>
        </w:rPr>
        <w:t>a</w:t>
      </w:r>
      <w:r w:rsidRPr="0064000D">
        <w:rPr>
          <w:rStyle w:val="apple-converted-space"/>
          <w:rFonts w:ascii="Arial" w:hAnsi="Arial" w:cs="Arial"/>
          <w:color w:val="000000"/>
          <w:sz w:val="18"/>
          <w:szCs w:val="18"/>
        </w:rPr>
        <w:t> </w:t>
      </w:r>
      <w:r w:rsidRPr="0064000D">
        <w:rPr>
          <w:rFonts w:ascii="Arial" w:hAnsi="Arial" w:cs="Arial"/>
          <w:color w:val="000000"/>
          <w:sz w:val="18"/>
          <w:szCs w:val="18"/>
        </w:rPr>
        <w:t>do inciso I, o poder público poderá reduzir a Reserva Legal para até 50% (cinquenta por cento), para fins de recomposição, quando o Município tiver mais de 50% (cinquenta por cento) da área ocupada por unidades de conservação da natureza de domínio público e por terras indígenas homologadas.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5</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Nos casos da alínea</w:t>
      </w:r>
      <w:r w:rsidRPr="0064000D">
        <w:rPr>
          <w:rStyle w:val="apple-converted-space"/>
          <w:rFonts w:ascii="Arial" w:hAnsi="Arial" w:cs="Arial"/>
          <w:color w:val="000000"/>
          <w:sz w:val="18"/>
          <w:szCs w:val="18"/>
        </w:rPr>
        <w:t> </w:t>
      </w:r>
      <w:r w:rsidRPr="0064000D">
        <w:rPr>
          <w:rFonts w:ascii="Arial" w:hAnsi="Arial" w:cs="Arial"/>
          <w:i/>
          <w:iCs/>
          <w:color w:val="000000"/>
          <w:sz w:val="18"/>
          <w:szCs w:val="18"/>
        </w:rPr>
        <w:t>a</w:t>
      </w:r>
      <w:r w:rsidRPr="0064000D">
        <w:rPr>
          <w:rStyle w:val="apple-converted-space"/>
          <w:rFonts w:ascii="Arial" w:hAnsi="Arial" w:cs="Arial"/>
          <w:color w:val="000000"/>
          <w:sz w:val="18"/>
          <w:szCs w:val="18"/>
        </w:rPr>
        <w:t> </w:t>
      </w:r>
      <w:r w:rsidRPr="0064000D">
        <w:rPr>
          <w:rFonts w:ascii="Arial" w:hAnsi="Arial" w:cs="Arial"/>
          <w:color w:val="000000"/>
          <w:sz w:val="18"/>
          <w:szCs w:val="18"/>
        </w:rPr>
        <w:t>do inciso I, o poder público estadual, ouvido o Conselho Estadual de Meio Ambiente, poderá reduzir a Reserva Legal para até 50% (cinquenta por cento), quando o Estado tiver Zoneamento Ecológico-Econômico aprovado e mais de 65% (sessenta e cinco por cento) do seu território ocupado por unidades de conservação da natureza de domínio público, devidamente regularizadas, e por terras indígenas homologadas.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6</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Os empreendimentos de abastecimento público de água e tratamento de esgoto não estão sujeitos à constituição de Reserva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7</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w:t>
      </w:r>
      <w:proofErr w:type="gramEnd"/>
      <w:r w:rsidRPr="0064000D">
        <w:rPr>
          <w:rFonts w:ascii="Arial" w:hAnsi="Arial" w:cs="Arial"/>
          <w:color w:val="000000"/>
          <w:sz w:val="18"/>
          <w:szCs w:val="18"/>
        </w:rPr>
        <w:t xml:space="preserve"> será exigido Reserva Legal relativa às áreas adquiridas ou desapropriadas por detentor de concessão, permissão ou autorização para exploração de potencial de energia hidráulica, nas quais funcionem empreendimentos de geração de energia elétrica, subestações ou sejam instaladas linhas de transmissão e de distribuição de energia elétrica.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8</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 será exigido Reserva Legal relativa às áreas adquiridas ou desapropriadas com o objetivo de implantação e ampliação de capacidade de rodovias e ferrovias.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13.  Quando indicado pelo Zoneamento Ecológico-Econômico - ZEE estadual, realizado segundo metodologia unificada, o poder público federal poderá:</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reduzir, exclusivamente para fins de regularização, mediante recomposição, regeneração ou compensação da Reserva Legal de imóveis com área rural consolidada, situados em área de floresta localizada na Amazônia Legal, para até 50% (cinquenta por cento) da propriedade, excluídas as áreas prioritárias para conservação da biodiversidade e dos recursos hídricos e os corredores ecológicos;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ampliar as áreas de Reserva Legal em até 50% (cinquenta por cento) dos percentuais previstos nesta Lei, para cumprimento de metas nacionais de proteção à biodiversidade ou de redução de emissão de gases de efeito estufa.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w:t>
      </w:r>
      <w:proofErr w:type="gramEnd"/>
      <w:r w:rsidRPr="0064000D">
        <w:rPr>
          <w:rFonts w:ascii="Arial" w:hAnsi="Arial" w:cs="Arial"/>
          <w:color w:val="000000"/>
          <w:sz w:val="18"/>
          <w:szCs w:val="18"/>
        </w:rPr>
        <w:t xml:space="preserve"> caso previsto no inciso 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 o proprietário ou possuidor de imóvel rural que mantiver Reserva Legal conservada e averbada em área superior aos percentuais exigidos no referido inciso poderá instituir servidão ambiental sobre a área excedente, nos termos da</w:t>
      </w:r>
      <w:r w:rsidRPr="0064000D">
        <w:rPr>
          <w:rStyle w:val="apple-converted-space"/>
          <w:rFonts w:ascii="Arial" w:hAnsi="Arial" w:cs="Arial"/>
          <w:color w:val="000000"/>
          <w:sz w:val="18"/>
          <w:szCs w:val="18"/>
        </w:rPr>
        <w:t> </w:t>
      </w:r>
      <w:hyperlink r:id="rId32" w:history="1">
        <w:r w:rsidRPr="0064000D">
          <w:rPr>
            <w:rStyle w:val="Hyperlink"/>
            <w:rFonts w:ascii="Arial" w:hAnsi="Arial" w:cs="Arial"/>
            <w:sz w:val="18"/>
            <w:szCs w:val="18"/>
          </w:rPr>
          <w:t>Lei n</w:t>
        </w:r>
        <w:r w:rsidRPr="0064000D">
          <w:rPr>
            <w:rStyle w:val="Hyperlink"/>
            <w:rFonts w:ascii="Arial" w:hAnsi="Arial" w:cs="Arial"/>
            <w:sz w:val="18"/>
            <w:szCs w:val="18"/>
            <w:vertAlign w:val="superscript"/>
          </w:rPr>
          <w:t>o</w:t>
        </w:r>
        <w:r w:rsidRPr="0064000D">
          <w:rPr>
            <w:rStyle w:val="apple-converted-space"/>
            <w:rFonts w:ascii="Arial" w:hAnsi="Arial" w:cs="Arial"/>
            <w:color w:val="0000FF"/>
            <w:sz w:val="18"/>
            <w:szCs w:val="18"/>
            <w:u w:val="single"/>
          </w:rPr>
          <w:t> </w:t>
        </w:r>
        <w:r w:rsidRPr="0064000D">
          <w:rPr>
            <w:rStyle w:val="Hyperlink"/>
            <w:rFonts w:ascii="Arial" w:hAnsi="Arial" w:cs="Arial"/>
            <w:sz w:val="18"/>
            <w:szCs w:val="18"/>
          </w:rPr>
          <w:t>6.938, de 31 de agosto de 1981</w:t>
        </w:r>
      </w:hyperlink>
      <w:r w:rsidRPr="0064000D">
        <w:rPr>
          <w:rFonts w:ascii="Arial" w:hAnsi="Arial" w:cs="Arial"/>
          <w:color w:val="000000"/>
          <w:sz w:val="18"/>
          <w:szCs w:val="18"/>
        </w:rPr>
        <w:t>, e Cota de Reserva Ambiental.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Os</w:t>
      </w:r>
      <w:proofErr w:type="gramEnd"/>
      <w:r w:rsidRPr="0064000D">
        <w:rPr>
          <w:rFonts w:ascii="Arial" w:hAnsi="Arial" w:cs="Arial"/>
          <w:color w:val="000000"/>
          <w:sz w:val="18"/>
          <w:szCs w:val="18"/>
        </w:rPr>
        <w:t xml:space="preserve"> Estados que não possuem seus Zoneamentos Ecológico-Econômicos - </w:t>
      </w:r>
      <w:proofErr w:type="spellStart"/>
      <w:r w:rsidRPr="0064000D">
        <w:rPr>
          <w:rFonts w:ascii="Arial" w:hAnsi="Arial" w:cs="Arial"/>
          <w:color w:val="000000"/>
          <w:sz w:val="18"/>
          <w:szCs w:val="18"/>
        </w:rPr>
        <w:t>ZEEs</w:t>
      </w:r>
      <w:proofErr w:type="spellEnd"/>
      <w:r w:rsidRPr="0064000D">
        <w:rPr>
          <w:rFonts w:ascii="Arial" w:hAnsi="Arial" w:cs="Arial"/>
          <w:color w:val="000000"/>
          <w:sz w:val="18"/>
          <w:szCs w:val="18"/>
        </w:rPr>
        <w:t xml:space="preserve"> segundo a metodologia unificada, estabelecida em norma federal, terão o prazo de 5 (cinco) anos, a partir da data da publicação desta Lei, para a sua elaboração e aprovação.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14.  A localização da área de Reserva Legal no imóvel rural deverá levar em consideração os seguintes estudos e critérios: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 plano de bacia hidrográfica;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lastRenderedPageBreak/>
        <w:t>II - o Zoneamento Ecológico-Econômico </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a formação de corredores ecológicos com outra Reserva Legal, com Área de Preservação Permanente, com Unidade de Conservação ou com outra área legalmente protegida;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IV - as áreas de maior importância para a conservação da biodiversidade; 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V - as áreas de maior fragilidade ambiental.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O órgão estadual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xml:space="preserve"> ou instituição por ele habilitada deverá aprovar a localização da Reserva Legal após a inclusão do imóvel no CAR, conforme o art. 29 desta Lei.</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r w:rsidRPr="0064000D">
        <w:rPr>
          <w:rFonts w:ascii="Arial" w:hAnsi="Arial" w:cs="Arial"/>
          <w:strike/>
          <w:color w:val="000000"/>
          <w:sz w:val="18"/>
          <w:szCs w:val="18"/>
        </w:rPr>
        <w:t>§ 2</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Protocolada a documentação exigida para análise da localização da área de Reserva Legal, ao proprietário ou possuidor rural não poderá ser imputada sanção administrativa, inclusive restrição a direitos, em razão da não formalização da área de Reserva Legal.</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bookmarkStart w:id="18" w:name="art14§2"/>
      <w:bookmarkEnd w:id="18"/>
      <w:r w:rsidRPr="0064000D">
        <w:rPr>
          <w:rFonts w:ascii="Arial" w:hAnsi="Arial" w:cs="Arial"/>
          <w:strike/>
          <w:color w:val="000000"/>
          <w:sz w:val="18"/>
          <w:szCs w:val="18"/>
        </w:rPr>
        <w:t>§ 2</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Protocolada a documentação exigida para análise da localização da área de Reserva Legal, ao proprietário ou possuidor rural não poderá ser imputada sanção administrativa, inclusive restrição a direitos, por qualquer órgão ambiental competente integrante do SISNAMA, em razão da não formalização da área de Reserva Legal.</w:t>
      </w:r>
      <w:r w:rsidRPr="0064000D">
        <w:rPr>
          <w:rStyle w:val="apple-converted-space"/>
          <w:rFonts w:ascii="Arial" w:hAnsi="Arial" w:cs="Arial"/>
          <w:strike/>
          <w:color w:val="000000"/>
          <w:sz w:val="18"/>
          <w:szCs w:val="18"/>
        </w:rPr>
        <w:t> </w:t>
      </w:r>
      <w:hyperlink r:id="rId33"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bookmarkStart w:id="19" w:name="art14§2."/>
      <w:bookmarkEnd w:id="19"/>
      <w:r w:rsidRPr="0064000D">
        <w:rPr>
          <w:rFonts w:ascii="Arial" w:hAnsi="Arial" w:cs="Arial"/>
          <w:color w:val="000000"/>
          <w:sz w:val="18"/>
          <w:szCs w:val="18"/>
        </w:rPr>
        <w:t>§ 2</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Protocolada</w:t>
      </w:r>
      <w:proofErr w:type="gramEnd"/>
      <w:r w:rsidRPr="0064000D">
        <w:rPr>
          <w:rFonts w:ascii="Arial" w:hAnsi="Arial" w:cs="Arial"/>
          <w:color w:val="000000"/>
          <w:sz w:val="18"/>
          <w:szCs w:val="18"/>
        </w:rPr>
        <w:t xml:space="preserve"> a documentação exigida para a análise da localização da área de Reserva Legal, ao proprietário ou possuidor rural não poderá ser imputada sanção administrativa, inclusive restrição a direitos, por qualquer órgão ambiental competente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em razão da não formalização da área de Reserva Legal.     </w:t>
      </w:r>
      <w:r w:rsidRPr="0064000D">
        <w:rPr>
          <w:rStyle w:val="apple-converted-space"/>
          <w:rFonts w:ascii="Arial" w:hAnsi="Arial" w:cs="Arial"/>
          <w:color w:val="000000"/>
          <w:sz w:val="18"/>
          <w:szCs w:val="18"/>
        </w:rPr>
        <w:t> </w:t>
      </w:r>
      <w:hyperlink r:id="rId34"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15.  Será admitido o cômputo das Áreas de Preservação Permanente no cálculo do percentual da Reserva Legal do imóvel, desde que: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 benefício previsto neste artigo não implique a conversão de novas áreas para o uso alternativo do solo;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xml:space="preserve">II - a área a ser computada esteja conservada ou em processo de recuperação, conforme comprovação do proprietário ao órgão estadual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o proprietário ou possuidor tenha requerido inclusão do imóvel no Cadastro Ambiental Rural - CAR, nos termos desta Lei.</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regime de proteção da Área de Preservação Permanente não se altera na hipótese prevista neste artigo.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proprietário ou possuidor de imóvel com Reserva Legal conservada e inscrita no Cadastro Ambiental Rural - CAR de que trata o art. 29, cuja área ultrapasse o mínimo exigido por esta Lei, poderá utilizar a área excedente para fins de constituição de servidão ambiental, Cota de Reserva Ambiental e outros instrumentos congêneres previstos nesta Lei.</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O cômputo de que trata 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caput</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aplica-se a todas as modalidades de cumprimento da Reserva Legal, abrangendo tanto a regeneração, como a recomposição e a compensação, em qualquer de suas modalidades.</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bookmarkStart w:id="20" w:name="art15§3"/>
      <w:bookmarkEnd w:id="20"/>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O cômputo de que trata 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aplica-se a todas as modalidades de cumprimento da Reserva Legal, abrangendo a regeneração, a recomposição e, na hipótese do art. 16, a compensação.</w:t>
      </w:r>
      <w:r w:rsidRPr="0064000D">
        <w:rPr>
          <w:rStyle w:val="apple-converted-space"/>
          <w:rFonts w:ascii="Arial" w:hAnsi="Arial" w:cs="Arial"/>
          <w:strike/>
          <w:color w:val="000000"/>
          <w:sz w:val="18"/>
          <w:szCs w:val="18"/>
        </w:rPr>
        <w:t> </w:t>
      </w:r>
      <w:hyperlink r:id="rId35"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bookmarkStart w:id="21" w:name="art15§3."/>
      <w:bookmarkEnd w:id="21"/>
      <w:r w:rsidRPr="0064000D">
        <w:rPr>
          <w:rFonts w:ascii="Arial" w:hAnsi="Arial" w:cs="Arial"/>
          <w:color w:val="000000"/>
          <w:sz w:val="18"/>
          <w:szCs w:val="18"/>
        </w:rPr>
        <w:t>§ 3</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w:t>
      </w:r>
      <w:proofErr w:type="gramEnd"/>
      <w:r w:rsidRPr="0064000D">
        <w:rPr>
          <w:rFonts w:ascii="Arial" w:hAnsi="Arial" w:cs="Arial"/>
          <w:color w:val="000000"/>
          <w:sz w:val="18"/>
          <w:szCs w:val="18"/>
        </w:rPr>
        <w:t xml:space="preserve"> cômputo de que trata 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color w:val="000000"/>
          <w:sz w:val="18"/>
          <w:szCs w:val="18"/>
        </w:rPr>
        <w:t> </w:t>
      </w:r>
      <w:r w:rsidRPr="0064000D">
        <w:rPr>
          <w:rFonts w:ascii="Arial" w:hAnsi="Arial" w:cs="Arial"/>
          <w:color w:val="000000"/>
          <w:sz w:val="18"/>
          <w:szCs w:val="18"/>
        </w:rPr>
        <w:t>aplica-se a todas as modalidades de cumprimento da Reserva Legal, abrangendo a regeneração, a recomposição e a compensação.     </w:t>
      </w:r>
      <w:r w:rsidRPr="0064000D">
        <w:rPr>
          <w:rStyle w:val="apple-converted-space"/>
          <w:rFonts w:ascii="Arial" w:hAnsi="Arial" w:cs="Arial"/>
          <w:color w:val="000000"/>
          <w:sz w:val="18"/>
          <w:szCs w:val="18"/>
        </w:rPr>
        <w:t> </w:t>
      </w:r>
      <w:hyperlink r:id="rId36"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2"/>
        <w:widowControl w:val="0"/>
        <w:spacing w:before="195" w:beforeAutospacing="0" w:after="195" w:afterAutospacing="0"/>
        <w:ind w:left="370"/>
        <w:jc w:val="both"/>
        <w:rPr>
          <w:rFonts w:ascii="Arial" w:hAnsi="Arial" w:cs="Arial"/>
          <w:color w:val="000000"/>
          <w:sz w:val="18"/>
          <w:szCs w:val="18"/>
        </w:rPr>
      </w:pPr>
      <w:r w:rsidRPr="0064000D">
        <w:rPr>
          <w:rFonts w:ascii="Arial" w:hAnsi="Arial" w:cs="Arial"/>
          <w:color w:val="000000"/>
          <w:sz w:val="18"/>
          <w:szCs w:val="18"/>
        </w:rPr>
        <w:t>§ 4</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w:t>
      </w:r>
      <w:proofErr w:type="gramEnd"/>
      <w:r w:rsidRPr="0064000D">
        <w:rPr>
          <w:rFonts w:ascii="Arial" w:hAnsi="Arial" w:cs="Arial"/>
          <w:color w:val="000000"/>
          <w:sz w:val="18"/>
          <w:szCs w:val="18"/>
        </w:rPr>
        <w:t xml:space="preserve"> dispensada a aplicação do inciso 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color w:val="000000"/>
          <w:sz w:val="18"/>
          <w:szCs w:val="18"/>
        </w:rPr>
        <w:t> </w:t>
      </w:r>
      <w:r w:rsidRPr="0064000D">
        <w:rPr>
          <w:rFonts w:ascii="Arial" w:hAnsi="Arial" w:cs="Arial"/>
          <w:color w:val="000000"/>
          <w:sz w:val="18"/>
          <w:szCs w:val="18"/>
        </w:rPr>
        <w:t>deste artigo, quando as Áreas de Preservação Permanente conservadas ou em processo de recuperação, somadas às demais florestas e outras formas de vegetação nativa existentes em imóvel, ultrapassarem:     </w:t>
      </w:r>
      <w:r w:rsidRPr="0064000D">
        <w:rPr>
          <w:rStyle w:val="apple-converted-space"/>
          <w:rFonts w:ascii="Arial" w:hAnsi="Arial" w:cs="Arial"/>
          <w:color w:val="000000"/>
          <w:sz w:val="18"/>
          <w:szCs w:val="18"/>
        </w:rPr>
        <w:t> </w:t>
      </w:r>
      <w:hyperlink r:id="rId37"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2"/>
        <w:widowControl w:val="0"/>
        <w:spacing w:before="195" w:beforeAutospacing="0" w:after="195" w:afterAutospacing="0"/>
        <w:ind w:left="370"/>
        <w:jc w:val="both"/>
        <w:rPr>
          <w:rFonts w:ascii="Arial" w:hAnsi="Arial" w:cs="Arial"/>
          <w:color w:val="000000"/>
          <w:sz w:val="18"/>
          <w:szCs w:val="18"/>
        </w:rPr>
      </w:pPr>
      <w:r w:rsidRPr="0064000D">
        <w:rPr>
          <w:rFonts w:ascii="Arial" w:hAnsi="Arial" w:cs="Arial"/>
          <w:color w:val="000000"/>
          <w:sz w:val="18"/>
          <w:szCs w:val="18"/>
        </w:rPr>
        <w:lastRenderedPageBreak/>
        <w:t>I - 80% (oitenta por cento) do imóvel rural localizado em áreas de floresta na Amazônia Legal; e    </w:t>
      </w:r>
      <w:proofErr w:type="gramStart"/>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38" w:history="1">
        <w:r w:rsidRPr="0064000D">
          <w:rPr>
            <w:rStyle w:val="Hyperlink"/>
            <w:rFonts w:ascii="Arial" w:hAnsi="Arial" w:cs="Arial"/>
            <w:sz w:val="18"/>
            <w:szCs w:val="18"/>
          </w:rPr>
          <w:t>(</w:t>
        </w:r>
        <w:proofErr w:type="gramEnd"/>
        <w:r w:rsidRPr="0064000D">
          <w:rPr>
            <w:rStyle w:val="Hyperlink"/>
            <w:rFonts w:ascii="Arial" w:hAnsi="Arial" w:cs="Arial"/>
            <w:sz w:val="18"/>
            <w:szCs w:val="18"/>
          </w:rPr>
          <w:t>Incluído pela Lei nº 12.727, de 2012).</w:t>
        </w:r>
      </w:hyperlink>
    </w:p>
    <w:p w:rsidR="00AF5754" w:rsidRPr="0064000D" w:rsidRDefault="00AF5754" w:rsidP="00DE7D36">
      <w:pPr>
        <w:pStyle w:val="texto2"/>
        <w:widowControl w:val="0"/>
        <w:spacing w:before="195" w:beforeAutospacing="0" w:after="195" w:afterAutospacing="0"/>
        <w:ind w:left="370"/>
        <w:jc w:val="both"/>
        <w:rPr>
          <w:rFonts w:ascii="Arial" w:hAnsi="Arial" w:cs="Arial"/>
          <w:color w:val="000000"/>
          <w:sz w:val="18"/>
          <w:szCs w:val="18"/>
        </w:rPr>
      </w:pPr>
      <w:r w:rsidRPr="0064000D">
        <w:rPr>
          <w:rFonts w:ascii="Arial" w:hAnsi="Arial" w:cs="Arial"/>
          <w:color w:val="000000"/>
          <w:sz w:val="18"/>
          <w:szCs w:val="18"/>
        </w:rPr>
        <w:t>II - (VETADO).     </w:t>
      </w:r>
      <w:r w:rsidRPr="0064000D">
        <w:rPr>
          <w:rStyle w:val="apple-converted-space"/>
          <w:rFonts w:ascii="Arial" w:hAnsi="Arial" w:cs="Arial"/>
          <w:color w:val="000000"/>
          <w:sz w:val="18"/>
          <w:szCs w:val="18"/>
        </w:rPr>
        <w:t> </w:t>
      </w:r>
      <w:hyperlink r:id="rId39"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 xml:space="preserve">Art. 16.  Poderá ser instituído Reserva Legal em regime de condomínio ou coletiva entre propriedades rurais, respeitado o percentual previsto no art. 12 em relação a cada imóvel, mediante a aprovação do órgão competente do </w:t>
      </w:r>
      <w:proofErr w:type="spellStart"/>
      <w:r w:rsidRPr="0064000D">
        <w:rPr>
          <w:rFonts w:ascii="Arial" w:hAnsi="Arial" w:cs="Arial"/>
          <w:strike/>
          <w:color w:val="000000"/>
          <w:sz w:val="18"/>
          <w:szCs w:val="18"/>
        </w:rPr>
        <w:t>Sisnama</w:t>
      </w:r>
      <w:proofErr w:type="spellEnd"/>
      <w:r w:rsidRPr="0064000D">
        <w:rPr>
          <w:rFonts w:ascii="Arial" w:hAnsi="Arial" w:cs="Arial"/>
          <w:strike/>
          <w:color w:val="000000"/>
          <w:sz w:val="18"/>
          <w:szCs w:val="18"/>
        </w:rPr>
        <w:t>.</w:t>
      </w:r>
    </w:p>
    <w:p w:rsidR="00AF5754" w:rsidRPr="0064000D" w:rsidRDefault="00AF5754" w:rsidP="00DE7D36">
      <w:pPr>
        <w:pStyle w:val="texto1"/>
        <w:widowControl w:val="0"/>
        <w:ind w:left="370"/>
        <w:jc w:val="both"/>
        <w:rPr>
          <w:rFonts w:ascii="Arial" w:hAnsi="Arial" w:cs="Arial"/>
          <w:color w:val="000000"/>
          <w:sz w:val="18"/>
          <w:szCs w:val="18"/>
        </w:rPr>
      </w:pPr>
      <w:bookmarkStart w:id="22" w:name="art16"/>
      <w:bookmarkEnd w:id="22"/>
      <w:r w:rsidRPr="0064000D">
        <w:rPr>
          <w:rFonts w:ascii="Arial" w:hAnsi="Arial" w:cs="Arial"/>
          <w:color w:val="000000"/>
          <w:sz w:val="18"/>
          <w:szCs w:val="18"/>
        </w:rPr>
        <w:t>Art. 16.  Poderá ser instituído Reserva Legal em regime de condomínio ou coletiva entre propriedades rurais, respeitado o percentual previsto no art. 12 em relação a cada imóvel.     </w:t>
      </w:r>
      <w:r w:rsidRPr="0064000D">
        <w:rPr>
          <w:rStyle w:val="apple-converted-space"/>
          <w:rFonts w:ascii="Arial" w:hAnsi="Arial" w:cs="Arial"/>
          <w:color w:val="000000"/>
          <w:sz w:val="18"/>
          <w:szCs w:val="18"/>
        </w:rPr>
        <w:t> </w:t>
      </w:r>
      <w:hyperlink r:id="rId40"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Parágrafo único.  No parcelamento de imóveis rurais, a área de Reserva Legal poderá ser agrupada em regime de condomínio entre os adquirentes.</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Seção II</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Do Regime de Proteção da Reserva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17.  A Reserva Legal deve ser conservada com cobertura de vegetação nativa pelo proprietário do imóvel rural, possuidor ou ocupante a qualquer título, pessoa física ou jurídica, de direito público ou privado.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Admite-se a exploração econômica da Reserva Legal mediante manejo sustentável, previamente aprovado pelo órgão competente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de acordo com as modalidades previstas no art. 20.</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Para fins de manejo de Reserva Legal na pequena propriedade ou posse rural familiar, os órgãos integrantes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xml:space="preserve"> deverão estabelecer procedimentos simplificados de elaboração, análise e aprovação de tais planos de manejo.</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É obrigatória a suspensão imediata das atividades em Área de Reserva Legal desmatada irregularmente após 22 de julho de 2008, e deverá ser iniciado o processo de recomposição, no todo ou em parte, sem prejuízo das sanções administrativas, cíveis e penais cabíveis, não extrapolando a 2 (dois) anos essa comprovação, contados a partir da data da publicação desta Lei ou, se a conduta for a ela posterior, da data da supressão da vegetação, vedado o uso da área para qualquer finalidade distinta da prevista neste artigo.</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bookmarkStart w:id="23" w:name="art17§3"/>
      <w:bookmarkEnd w:id="23"/>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É obrigatória a suspensão imediata das atividades em Área de Reserva Legal desmatada irregularmente após 22 de julho de 2008.</w:t>
      </w:r>
      <w:r w:rsidRPr="0064000D">
        <w:rPr>
          <w:rStyle w:val="apple-converted-space"/>
          <w:rFonts w:ascii="Arial" w:hAnsi="Arial" w:cs="Arial"/>
          <w:strike/>
          <w:color w:val="000000"/>
          <w:sz w:val="18"/>
          <w:szCs w:val="18"/>
        </w:rPr>
        <w:t> </w:t>
      </w:r>
      <w:hyperlink r:id="rId41"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bookmarkStart w:id="24" w:name="art17§3."/>
      <w:bookmarkEnd w:id="24"/>
      <w:r w:rsidRPr="0064000D">
        <w:rPr>
          <w:rFonts w:ascii="Arial" w:hAnsi="Arial" w:cs="Arial"/>
          <w:color w:val="000000"/>
          <w:sz w:val="18"/>
          <w:szCs w:val="18"/>
        </w:rPr>
        <w:t> § 3</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  É obrigatória a suspensão imediata das atividades em área de Reserva Legal desmatada irregularmente após 22 de julho de 2008.     </w:t>
      </w:r>
      <w:r w:rsidRPr="0064000D">
        <w:rPr>
          <w:rStyle w:val="apple-converted-space"/>
          <w:rFonts w:ascii="Arial" w:hAnsi="Arial" w:cs="Arial"/>
          <w:color w:val="000000"/>
          <w:sz w:val="18"/>
          <w:szCs w:val="18"/>
        </w:rPr>
        <w:t> </w:t>
      </w:r>
      <w:hyperlink r:id="rId42"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 4</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Sem prejuízo das sanções administrativas, cíveis e penais cabíveis, deverá ser iniciado o processo de recomposição da Reserva Legal em até dois anos contados a partir da data da publicação desta Lei, devendo tal processo ser concluído nos prazos estabelecidos pelo Programa de Regularização Ambiental – PRA, de que trata o art. 59.</w:t>
      </w:r>
      <w:r w:rsidRPr="0064000D">
        <w:rPr>
          <w:rStyle w:val="apple-converted-space"/>
          <w:rFonts w:ascii="Arial" w:hAnsi="Arial" w:cs="Arial"/>
          <w:strike/>
          <w:color w:val="000000"/>
          <w:sz w:val="18"/>
          <w:szCs w:val="18"/>
        </w:rPr>
        <w:t> </w:t>
      </w:r>
      <w:hyperlink r:id="rId43"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Sem prejuízo das sanções administrativas, cíveis e penais cabíveis, deverá ser iniciado, nas áreas de que trata o § 3</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deste artigo, o processo de recomposição da Reserva Legal em até 2 (dois) anos contados a partir da data da publicação desta Lei, devendo tal processo ser concluído nos prazos estabelecidos pelo Programa de Regularização Ambiental - PRA, de que trata o art. 59.     </w:t>
      </w:r>
      <w:r w:rsidRPr="0064000D">
        <w:rPr>
          <w:rStyle w:val="apple-converted-space"/>
          <w:rFonts w:ascii="Arial" w:hAnsi="Arial" w:cs="Arial"/>
          <w:color w:val="000000"/>
          <w:sz w:val="18"/>
          <w:szCs w:val="18"/>
        </w:rPr>
        <w:t> </w:t>
      </w:r>
      <w:hyperlink r:id="rId44"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18.  A área de Reserva Legal deverá ser registrada no órgão ambiental competente por meio de inscrição no CAR de que trata o art. 29, sendo vedada a alteração de sua destinação, nos casos de transmissão, a qualquer título, ou de desmembramento, com as exceções previstas nesta Lei.</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A inscrição da Reserva Legal no CAR será feita mediante a apresentação de planta e memorial descritivo, contendo a indicação das coordenadas geográficas com pelo menos um ponto de </w:t>
      </w:r>
      <w:r w:rsidRPr="0064000D">
        <w:rPr>
          <w:rFonts w:ascii="Arial" w:hAnsi="Arial" w:cs="Arial"/>
          <w:color w:val="000000"/>
          <w:sz w:val="18"/>
          <w:szCs w:val="18"/>
        </w:rPr>
        <w:lastRenderedPageBreak/>
        <w:t>amarração, conforme ato do Chefe do Poder Executivo.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Na posse, a área de Reserva Legal é assegurada por termo de compromisso firmado pelo possuidor com o órgão competente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com força de título executivo extrajudicial, que explicite, no mínimo, a localização da área de Reserva Legal e as obrigações assumidas pelo possuidor por força do previsto nesta Lei.</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transferência da posse implica a sub-rogação das obrigações assumidas no termo de compromisso de que trata o §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 4</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O registro da Reserva Legal no CAR desobriga a averbação no Cartório de Registro de Imóveis.</w:t>
      </w:r>
    </w:p>
    <w:p w:rsidR="00AF5754" w:rsidRPr="0064000D" w:rsidRDefault="00AF5754" w:rsidP="00DE7D36">
      <w:pPr>
        <w:pStyle w:val="texto1"/>
        <w:widowControl w:val="0"/>
        <w:ind w:left="370"/>
        <w:jc w:val="both"/>
        <w:rPr>
          <w:rFonts w:ascii="Arial" w:hAnsi="Arial" w:cs="Arial"/>
          <w:color w:val="000000"/>
          <w:sz w:val="18"/>
          <w:szCs w:val="18"/>
        </w:rPr>
      </w:pPr>
      <w:bookmarkStart w:id="25" w:name="art18§4"/>
      <w:bookmarkEnd w:id="25"/>
      <w:r w:rsidRPr="0064000D">
        <w:rPr>
          <w:rFonts w:ascii="Arial" w:hAnsi="Arial" w:cs="Arial"/>
          <w:color w:val="000000"/>
          <w:sz w:val="18"/>
          <w:szCs w:val="18"/>
        </w:rPr>
        <w:t> § 4</w:t>
      </w:r>
      <w:proofErr w:type="gramStart"/>
      <w:r w:rsidRPr="0064000D">
        <w:rPr>
          <w:rFonts w:ascii="Arial" w:hAnsi="Arial" w:cs="Arial"/>
          <w:color w:val="000000"/>
          <w:sz w:val="18"/>
          <w:szCs w:val="18"/>
          <w:vertAlign w:val="superscript"/>
        </w:rPr>
        <w:t>o</w:t>
      </w:r>
      <w:r w:rsidRPr="0064000D">
        <w:rPr>
          <w:rFonts w:ascii="Arial" w:hAnsi="Arial" w:cs="Arial"/>
          <w:color w:val="000000"/>
          <w:sz w:val="18"/>
          <w:szCs w:val="18"/>
        </w:rPr>
        <w:t>  O</w:t>
      </w:r>
      <w:proofErr w:type="gramEnd"/>
      <w:r w:rsidRPr="0064000D">
        <w:rPr>
          <w:rFonts w:ascii="Arial" w:hAnsi="Arial" w:cs="Arial"/>
          <w:color w:val="000000"/>
          <w:sz w:val="18"/>
          <w:szCs w:val="18"/>
        </w:rPr>
        <w:t xml:space="preserve"> registro da Reserva Legal no CAR desobriga a averbação no Cartório de Registro de Imóveis, sendo que, no período entre a data da publicação desta Lei e o registro no CAR, o proprietário ou possuidor rural que desejar fazer a averbação terá direito à gratuidade deste ato.     </w:t>
      </w:r>
      <w:r w:rsidRPr="0064000D">
        <w:rPr>
          <w:rStyle w:val="apple-converted-space"/>
          <w:rFonts w:ascii="Arial" w:hAnsi="Arial" w:cs="Arial"/>
          <w:color w:val="000000"/>
          <w:sz w:val="18"/>
          <w:szCs w:val="18"/>
        </w:rPr>
        <w:t> </w:t>
      </w:r>
      <w:hyperlink r:id="rId45"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19.  A inserção do imóvel rural em perímetro urbano definido mediante lei municipal não desobriga o proprietário ou posseiro da manutenção da área de Reserva Legal, que só será extinta concomitantemente ao registro do parcelamento do solo para fins urbanos aprovado segundo a legislação específica e consoante as diretrizes do plano diretor de que trata o</w:t>
      </w:r>
      <w:r w:rsidRPr="0064000D">
        <w:rPr>
          <w:rStyle w:val="apple-converted-space"/>
          <w:rFonts w:ascii="Arial" w:hAnsi="Arial" w:cs="Arial"/>
          <w:color w:val="000000"/>
          <w:sz w:val="18"/>
          <w:szCs w:val="18"/>
        </w:rPr>
        <w:t> </w:t>
      </w:r>
      <w:hyperlink r:id="rId46" w:anchor="art182§1" w:history="1">
        <w:r w:rsidRPr="0064000D">
          <w:rPr>
            <w:rStyle w:val="Hyperlink"/>
            <w:rFonts w:ascii="Arial" w:hAnsi="Arial" w:cs="Arial"/>
            <w:sz w:val="18"/>
            <w:szCs w:val="18"/>
          </w:rPr>
          <w:t>§ 1</w:t>
        </w:r>
        <w:r w:rsidRPr="0064000D">
          <w:rPr>
            <w:rStyle w:val="Hyperlink"/>
            <w:rFonts w:ascii="Arial" w:hAnsi="Arial" w:cs="Arial"/>
            <w:sz w:val="18"/>
            <w:szCs w:val="18"/>
            <w:vertAlign w:val="superscript"/>
          </w:rPr>
          <w:t>o</w:t>
        </w:r>
        <w:r w:rsidRPr="0064000D">
          <w:rPr>
            <w:rStyle w:val="apple-converted-space"/>
            <w:rFonts w:ascii="Arial" w:hAnsi="Arial" w:cs="Arial"/>
            <w:color w:val="0000FF"/>
            <w:sz w:val="18"/>
            <w:szCs w:val="18"/>
            <w:u w:val="single"/>
          </w:rPr>
          <w:t> </w:t>
        </w:r>
        <w:r w:rsidRPr="0064000D">
          <w:rPr>
            <w:rStyle w:val="Hyperlink"/>
            <w:rFonts w:ascii="Arial" w:hAnsi="Arial" w:cs="Arial"/>
            <w:sz w:val="18"/>
            <w:szCs w:val="18"/>
          </w:rPr>
          <w:t>do art. 182 da Constituição Federal.</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20.  No manejo sustentável da vegetação florestal da Reserva Legal, serão adotadas práticas de exploração seletiva nas modalidades de manejo sustentável sem propósito comercial para consumo na propriedade e manejo sustentável para exploração florestal com propósito comercial.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21.  É livre a coleta de produtos florestais não madeireiros, tais como frutos, cipós, folhas e sementes, devendo-se observar:</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os períodos de coleta e volumes fixados em regulamentos específicos, quando houver;</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 época de maturação dos frutos e sementes;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técnicas que não coloquem em risco a sobrevivência de indivíduos e da espécie coletada no caso de coleta de flores, folhas, cascas, óleos, resinas, cipós, bulbos, bambus e raízes.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22.  O manejo florestal sustentável da vegetação da Reserva Legal com propósito comercial depende de autorização do órgão competente e deverá atender as seguintes diretrizes e orientações: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não descaracterizar a cobertura vegetal e não prejudicar a conservação da vegetação nativa da área;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assegurar a manutenção da diversidade das espécies;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conduzir o manejo de espécies exóticas com a adoção de medidas que favoreçam a regeneração de espécies nativas.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23.  O manejo sustentável para exploração florestal eventual sem propósito comercial, para consumo no próprio imóvel, independe de autorização dos órgãos competentes, devendo apenas ser declarados previamente ao órgão ambiental a motivação da exploração e o volume explorado, limitada a exploração anual a 20 (vinte) metros cúbicos.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xml:space="preserve">Art. 24.  No manejo florestal nas áreas fora de Reserva Legal, aplica-se igualmente o disposto nos </w:t>
      </w:r>
      <w:proofErr w:type="spellStart"/>
      <w:r w:rsidRPr="0064000D">
        <w:rPr>
          <w:rFonts w:ascii="Arial" w:hAnsi="Arial" w:cs="Arial"/>
          <w:color w:val="000000"/>
          <w:sz w:val="18"/>
          <w:szCs w:val="18"/>
        </w:rPr>
        <w:t>arts</w:t>
      </w:r>
      <w:proofErr w:type="spellEnd"/>
      <w:r w:rsidRPr="0064000D">
        <w:rPr>
          <w:rFonts w:ascii="Arial" w:hAnsi="Arial" w:cs="Arial"/>
          <w:color w:val="000000"/>
          <w:sz w:val="18"/>
          <w:szCs w:val="18"/>
        </w:rPr>
        <w:t>. 21, 22 e 23.</w:t>
      </w:r>
    </w:p>
    <w:p w:rsidR="00380AA9" w:rsidRDefault="00380AA9" w:rsidP="00DE7D36">
      <w:pPr>
        <w:pStyle w:val="cabea"/>
        <w:widowControl w:val="0"/>
        <w:jc w:val="center"/>
        <w:rPr>
          <w:rFonts w:ascii="Arial" w:hAnsi="Arial" w:cs="Arial"/>
          <w:color w:val="000000"/>
          <w:sz w:val="18"/>
          <w:szCs w:val="18"/>
        </w:rPr>
      </w:pPr>
    </w:p>
    <w:p w:rsidR="00380AA9" w:rsidRDefault="00380AA9" w:rsidP="00DE7D36">
      <w:pPr>
        <w:pStyle w:val="cabea"/>
        <w:widowControl w:val="0"/>
        <w:jc w:val="center"/>
        <w:rPr>
          <w:rFonts w:ascii="Arial" w:hAnsi="Arial" w:cs="Arial"/>
          <w:color w:val="000000"/>
          <w:sz w:val="18"/>
          <w:szCs w:val="18"/>
        </w:rPr>
      </w:pP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lastRenderedPageBreak/>
        <w:t>Seção III</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Do</w:t>
      </w:r>
      <w:r w:rsidRPr="0064000D">
        <w:rPr>
          <w:rStyle w:val="apple-converted-space"/>
          <w:rFonts w:ascii="Arial" w:hAnsi="Arial" w:cs="Arial"/>
          <w:color w:val="000000"/>
          <w:sz w:val="18"/>
          <w:szCs w:val="18"/>
        </w:rPr>
        <w:t> </w:t>
      </w:r>
      <w:r w:rsidRPr="0064000D">
        <w:rPr>
          <w:rFonts w:ascii="Arial" w:hAnsi="Arial" w:cs="Arial"/>
          <w:color w:val="000000"/>
          <w:sz w:val="18"/>
          <w:szCs w:val="18"/>
        </w:rPr>
        <w:t>Regime de Proteção das Áreas Verdes Urbanas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25.  O poder público municipal contará, para o estabelecimento de áreas verdes urbanas, com os seguintes instrumentos: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 exercício do direito de preempção para aquisição de remanescentes florestais relevantes, conforme dispõe a</w:t>
      </w:r>
      <w:r w:rsidRPr="0064000D">
        <w:rPr>
          <w:rStyle w:val="apple-converted-space"/>
          <w:rFonts w:ascii="Arial" w:hAnsi="Arial" w:cs="Arial"/>
          <w:color w:val="000000"/>
          <w:sz w:val="18"/>
          <w:szCs w:val="18"/>
        </w:rPr>
        <w:t> </w:t>
      </w:r>
      <w:hyperlink r:id="rId47" w:history="1">
        <w:r w:rsidRPr="0064000D">
          <w:rPr>
            <w:rStyle w:val="Hyperlink"/>
            <w:rFonts w:ascii="Arial" w:hAnsi="Arial" w:cs="Arial"/>
            <w:sz w:val="18"/>
            <w:szCs w:val="18"/>
          </w:rPr>
          <w:t>Lei n</w:t>
        </w:r>
        <w:r w:rsidRPr="0064000D">
          <w:rPr>
            <w:rStyle w:val="Hyperlink"/>
            <w:rFonts w:ascii="Arial" w:hAnsi="Arial" w:cs="Arial"/>
            <w:sz w:val="18"/>
            <w:szCs w:val="18"/>
            <w:vertAlign w:val="superscript"/>
          </w:rPr>
          <w:t>o</w:t>
        </w:r>
        <w:r w:rsidRPr="0064000D">
          <w:rPr>
            <w:rStyle w:val="apple-converted-space"/>
            <w:rFonts w:ascii="Arial" w:hAnsi="Arial" w:cs="Arial"/>
            <w:color w:val="0000FF"/>
            <w:sz w:val="18"/>
            <w:szCs w:val="18"/>
            <w:u w:val="single"/>
          </w:rPr>
          <w:t> </w:t>
        </w:r>
        <w:r w:rsidRPr="0064000D">
          <w:rPr>
            <w:rStyle w:val="Hyperlink"/>
            <w:rFonts w:ascii="Arial" w:hAnsi="Arial" w:cs="Arial"/>
            <w:sz w:val="18"/>
            <w:szCs w:val="18"/>
          </w:rPr>
          <w:t>10.257, de 10 de julho de 2001;</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 transformação das Reservas Legais em áreas verdes nas expansões urbanas </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o estabelecimento de exigência de áreas verdes nos loteamentos, empreendimentos comerciais e na implantação de infraestrutura; 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IV - aplicação em áreas verdes de recursos oriundos da compensação ambiental.</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AMBIENTAL E PROCESSUAL CIVIL. RECURSO ESPECIAL REPRESENTATIVO DE CONTROVÉRSIA DE NATUREZA REPETITIVA. AÇÃO CIVIL PÚBLICA. DANO AMBIENTAL. OBRIGAÇÃO DE REPARAÇÃO. ARTS. 3º, IV, E 14, § 1º, DA LEI 6.938/81. NATUREZA PROPTER REM E SOLIDÁRIA. POSSIBILIDADE DE RESPONSABILIZAÇÃO DOS ATUAIS POSSUIDORES OU PROPRIETÁRIOS, ASSIM COMO DOS ANTERIORES, OU DE AMBOS. PRECEDENTES DO STJ. RECURSO ESPECIAL CONHECIDO E PROVIDO.</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I. Recurso Especial interposto contra acórdão publicado na vigência do CPC/2015, aplicando-se, no caso, o Enunciado Administrativo 3/2016, do STJ, aprovado na sessão plenária de 09/03/2016 ("Aos recursos interpostos com fundamento no CPC/2015 (relativos a decisões publicadas a partir de 18 de março de 2016) serão exigidos os requisitos de admissibilidade recursal na forma do novo CPC").</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 xml:space="preserve">II. A controvérsia ora em apreciação, submetida ao rito dos recursos especiais repetitivos, nos termos dos </w:t>
      </w:r>
      <w:proofErr w:type="spellStart"/>
      <w:r w:rsidRPr="00285254">
        <w:rPr>
          <w:rFonts w:ascii="Times New Roman" w:hAnsi="Times New Roman" w:cs="Times New Roman"/>
          <w:b/>
          <w:color w:val="4F6228" w:themeColor="accent3" w:themeShade="80"/>
          <w:highlight w:val="yellow"/>
        </w:rPr>
        <w:t>arts</w:t>
      </w:r>
      <w:proofErr w:type="spellEnd"/>
      <w:r w:rsidRPr="00285254">
        <w:rPr>
          <w:rFonts w:ascii="Times New Roman" w:hAnsi="Times New Roman" w:cs="Times New Roman"/>
          <w:b/>
          <w:color w:val="4F6228" w:themeColor="accent3" w:themeShade="80"/>
          <w:highlight w:val="yellow"/>
        </w:rPr>
        <w:t xml:space="preserve">. 1.036 a 1.041 do CPC/2015, restou assim delimitada: "As obrigações ambientais possuem natureza </w:t>
      </w:r>
      <w:proofErr w:type="spellStart"/>
      <w:r w:rsidRPr="00285254">
        <w:rPr>
          <w:rFonts w:ascii="Times New Roman" w:hAnsi="Times New Roman" w:cs="Times New Roman"/>
          <w:b/>
          <w:color w:val="4F6228" w:themeColor="accent3" w:themeShade="80"/>
          <w:highlight w:val="yellow"/>
        </w:rPr>
        <w:t>propter</w:t>
      </w:r>
      <w:proofErr w:type="spellEnd"/>
      <w:r w:rsidRPr="00285254">
        <w:rPr>
          <w:rFonts w:ascii="Times New Roman" w:hAnsi="Times New Roman" w:cs="Times New Roman"/>
          <w:b/>
          <w:color w:val="4F6228" w:themeColor="accent3" w:themeShade="80"/>
          <w:highlight w:val="yellow"/>
        </w:rPr>
        <w:t xml:space="preserve"> rem, sendo admissível cobrá-las do proprietário ou possuidor atual e/ou dos anteriores ou, ainda, dos sucessores, à escolha do credor".</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III. A matéria afetada encontra-se atualmente consubstanciada na Súmula 623/STJ, publicada no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17/12/2018: "As obrigações ambientais possuem natureza </w:t>
      </w:r>
      <w:proofErr w:type="spellStart"/>
      <w:r w:rsidRPr="005B4BE5">
        <w:rPr>
          <w:rFonts w:ascii="Times New Roman" w:hAnsi="Times New Roman" w:cs="Times New Roman"/>
          <w:b/>
          <w:color w:val="4F6228" w:themeColor="accent3" w:themeShade="80"/>
        </w:rPr>
        <w:t>propter</w:t>
      </w:r>
      <w:proofErr w:type="spellEnd"/>
      <w:r w:rsidRPr="005B4BE5">
        <w:rPr>
          <w:rFonts w:ascii="Times New Roman" w:hAnsi="Times New Roman" w:cs="Times New Roman"/>
          <w:b/>
          <w:color w:val="4F6228" w:themeColor="accent3" w:themeShade="80"/>
        </w:rPr>
        <w:t xml:space="preserve"> rem, sendo admissível cobrá-las do proprietário ou possuidor atual e/ou dos anteriores, à escolha do credor".</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 xml:space="preserve">IV. Esse enunciado sumular lastreia-se em jurisprudência do STJ que, interpretando a legislação de regência, consolidou entendimento no sentido de que "a obrigação de reparação dos danos ambientais é </w:t>
      </w:r>
      <w:proofErr w:type="spellStart"/>
      <w:r w:rsidRPr="00285254">
        <w:rPr>
          <w:rFonts w:ascii="Times New Roman" w:hAnsi="Times New Roman" w:cs="Times New Roman"/>
          <w:b/>
          <w:color w:val="4F6228" w:themeColor="accent3" w:themeShade="80"/>
          <w:highlight w:val="yellow"/>
        </w:rPr>
        <w:t>propter</w:t>
      </w:r>
      <w:proofErr w:type="spellEnd"/>
      <w:r w:rsidRPr="00285254">
        <w:rPr>
          <w:rFonts w:ascii="Times New Roman" w:hAnsi="Times New Roman" w:cs="Times New Roman"/>
          <w:b/>
          <w:color w:val="4F6228" w:themeColor="accent3" w:themeShade="80"/>
          <w:highlight w:val="yellow"/>
        </w:rPr>
        <w:t xml:space="preserve"> rem, por isso que a Lei 8.171/91 vigora para todos os proprietários rurais, ainda que não sejam eles os responsáveis por eventuais desmatamentos anteriores, máxime porque a referida norma referendou o próprio Código Florestal (Lei 4.771/65) que estabelecia uma limitação administrativa às propriedades rurais (...)" (</w:t>
      </w:r>
      <w:proofErr w:type="spellStart"/>
      <w:r w:rsidRPr="00285254">
        <w:rPr>
          <w:rFonts w:ascii="Times New Roman" w:hAnsi="Times New Roman" w:cs="Times New Roman"/>
          <w:b/>
          <w:color w:val="4F6228" w:themeColor="accent3" w:themeShade="80"/>
          <w:highlight w:val="yellow"/>
        </w:rPr>
        <w:t>REsp</w:t>
      </w:r>
      <w:proofErr w:type="spellEnd"/>
      <w:r w:rsidRPr="00285254">
        <w:rPr>
          <w:rFonts w:ascii="Times New Roman" w:hAnsi="Times New Roman" w:cs="Times New Roman"/>
          <w:b/>
          <w:color w:val="4F6228" w:themeColor="accent3" w:themeShade="80"/>
          <w:highlight w:val="yellow"/>
        </w:rPr>
        <w:t xml:space="preserve"> 1.090.968/SP, Rel. Ministro LUIZ FUX, PRIMEIRA TURMA, </w:t>
      </w:r>
      <w:proofErr w:type="spellStart"/>
      <w:r w:rsidRPr="00285254">
        <w:rPr>
          <w:rFonts w:ascii="Times New Roman" w:hAnsi="Times New Roman" w:cs="Times New Roman"/>
          <w:b/>
          <w:color w:val="4F6228" w:themeColor="accent3" w:themeShade="80"/>
          <w:highlight w:val="yellow"/>
        </w:rPr>
        <w:t>DJe</w:t>
      </w:r>
      <w:proofErr w:type="spellEnd"/>
      <w:r w:rsidRPr="00285254">
        <w:rPr>
          <w:rFonts w:ascii="Times New Roman" w:hAnsi="Times New Roman" w:cs="Times New Roman"/>
          <w:b/>
          <w:color w:val="4F6228" w:themeColor="accent3" w:themeShade="80"/>
          <w:highlight w:val="yellow"/>
        </w:rPr>
        <w:t xml:space="preserve"> de 03/08/2010). Segundo essa orientação, o atual titular que se mantém inerte em face de degradação ambiental, ainda que pré-existente, comete ato ilícito, pois a preservação das áreas de preservação permanente e da reserva legal constituem "imposições genéricas, decorrentes diretamente da lei. São, por esse enfoque, pressupostos intrínsecos ou limites internos do direito de propriedade e posse </w:t>
      </w:r>
      <w:proofErr w:type="gramStart"/>
      <w:r w:rsidRPr="00285254">
        <w:rPr>
          <w:rFonts w:ascii="Times New Roman" w:hAnsi="Times New Roman" w:cs="Times New Roman"/>
          <w:b/>
          <w:color w:val="4F6228" w:themeColor="accent3" w:themeShade="80"/>
          <w:highlight w:val="yellow"/>
        </w:rPr>
        <w:t>(. ..</w:t>
      </w:r>
      <w:proofErr w:type="gramEnd"/>
      <w:r w:rsidRPr="00285254">
        <w:rPr>
          <w:rFonts w:ascii="Times New Roman" w:hAnsi="Times New Roman" w:cs="Times New Roman"/>
          <w:b/>
          <w:color w:val="4F6228" w:themeColor="accent3" w:themeShade="80"/>
          <w:highlight w:val="yellow"/>
        </w:rPr>
        <w:t xml:space="preserve">) </w:t>
      </w:r>
      <w:proofErr w:type="gramStart"/>
      <w:r w:rsidRPr="00285254">
        <w:rPr>
          <w:rFonts w:ascii="Times New Roman" w:hAnsi="Times New Roman" w:cs="Times New Roman"/>
          <w:b/>
          <w:color w:val="4F6228" w:themeColor="accent3" w:themeShade="80"/>
          <w:highlight w:val="yellow"/>
        </w:rPr>
        <w:t>quem</w:t>
      </w:r>
      <w:proofErr w:type="gramEnd"/>
      <w:r w:rsidRPr="00285254">
        <w:rPr>
          <w:rFonts w:ascii="Times New Roman" w:hAnsi="Times New Roman" w:cs="Times New Roman"/>
          <w:b/>
          <w:color w:val="4F6228" w:themeColor="accent3" w:themeShade="80"/>
          <w:highlight w:val="yellow"/>
        </w:rPr>
        <w:t xml:space="preserve"> se beneficia da degradação ambiental alheia, a agrava ou lhe dá continuidade não é menos degradador" (STJ, </w:t>
      </w:r>
      <w:proofErr w:type="spellStart"/>
      <w:r w:rsidRPr="00285254">
        <w:rPr>
          <w:rFonts w:ascii="Times New Roman" w:hAnsi="Times New Roman" w:cs="Times New Roman"/>
          <w:b/>
          <w:color w:val="4F6228" w:themeColor="accent3" w:themeShade="80"/>
          <w:highlight w:val="yellow"/>
        </w:rPr>
        <w:t>REsp</w:t>
      </w:r>
      <w:proofErr w:type="spellEnd"/>
      <w:r w:rsidRPr="00285254">
        <w:rPr>
          <w:rFonts w:ascii="Times New Roman" w:hAnsi="Times New Roman" w:cs="Times New Roman"/>
          <w:b/>
          <w:color w:val="4F6228" w:themeColor="accent3" w:themeShade="80"/>
          <w:highlight w:val="yellow"/>
        </w:rPr>
        <w:t xml:space="preserve"> 948.921/SP, Rel. Ministro HERMAN BENJAMIN, SEGUNDA TURMA, </w:t>
      </w:r>
      <w:proofErr w:type="spellStart"/>
      <w:r w:rsidRPr="00285254">
        <w:rPr>
          <w:rFonts w:ascii="Times New Roman" w:hAnsi="Times New Roman" w:cs="Times New Roman"/>
          <w:b/>
          <w:color w:val="4F6228" w:themeColor="accent3" w:themeShade="80"/>
          <w:highlight w:val="yellow"/>
        </w:rPr>
        <w:t>DJe</w:t>
      </w:r>
      <w:proofErr w:type="spellEnd"/>
      <w:r w:rsidRPr="00285254">
        <w:rPr>
          <w:rFonts w:ascii="Times New Roman" w:hAnsi="Times New Roman" w:cs="Times New Roman"/>
          <w:b/>
          <w:color w:val="4F6228" w:themeColor="accent3" w:themeShade="80"/>
          <w:highlight w:val="yellow"/>
        </w:rPr>
        <w:t xml:space="preserve"> de 11/11/2009). No mesmo sentido: "Não há cogitar, pois, de ausência de nexo causal, visto que aquele que perpetua a lesão ao meio ambiente cometida por outrem está, ele mesmo, praticando o ilícito" (STJ, </w:t>
      </w:r>
      <w:proofErr w:type="spellStart"/>
      <w:r w:rsidRPr="00285254">
        <w:rPr>
          <w:rFonts w:ascii="Times New Roman" w:hAnsi="Times New Roman" w:cs="Times New Roman"/>
          <w:b/>
          <w:color w:val="4F6228" w:themeColor="accent3" w:themeShade="80"/>
          <w:highlight w:val="yellow"/>
        </w:rPr>
        <w:t>REsp</w:t>
      </w:r>
      <w:proofErr w:type="spellEnd"/>
      <w:r w:rsidRPr="00285254">
        <w:rPr>
          <w:rFonts w:ascii="Times New Roman" w:hAnsi="Times New Roman" w:cs="Times New Roman"/>
          <w:b/>
          <w:color w:val="4F6228" w:themeColor="accent3" w:themeShade="80"/>
          <w:highlight w:val="yellow"/>
        </w:rPr>
        <w:t xml:space="preserve"> 343.741/PR, Rel. Ministro FRANCIULLI NETTO, SEGUNDA TURMA, DJU de </w:t>
      </w:r>
      <w:r w:rsidRPr="00285254">
        <w:rPr>
          <w:rFonts w:ascii="Times New Roman" w:hAnsi="Times New Roman" w:cs="Times New Roman"/>
          <w:b/>
          <w:color w:val="4F6228" w:themeColor="accent3" w:themeShade="80"/>
          <w:highlight w:val="yellow"/>
        </w:rPr>
        <w:lastRenderedPageBreak/>
        <w:t>07/10/2002).</w:t>
      </w:r>
      <w:r w:rsidR="00285254">
        <w:rPr>
          <w:rFonts w:ascii="Times New Roman" w:hAnsi="Times New Roman" w:cs="Times New Roman"/>
          <w:b/>
          <w:color w:val="4F6228" w:themeColor="accent3" w:themeShade="80"/>
        </w:rPr>
        <w:t xml:space="preserve"> </w:t>
      </w:r>
      <w:r w:rsidRPr="005B4BE5">
        <w:rPr>
          <w:rFonts w:ascii="Times New Roman" w:hAnsi="Times New Roman" w:cs="Times New Roman"/>
          <w:b/>
          <w:color w:val="4F6228" w:themeColor="accent3" w:themeShade="80"/>
        </w:rPr>
        <w:t xml:space="preserve">Atualmente, o art. 2º, § 2º, da Lei 12.651/2012 expressamente atribui caráter ambulatorial à obrigação ambiental, ao dispor que "as obrigações previstas nesta Lei têm natureza real e são transmitidas ao sucessor, de qualquer natureza, no caso de transferência de domínio ou posse do imóvel rural". Tal norma, somada ao art. 14, § 1º, da Lei 6.938/81 - que estabelece a responsabilidade ambiental objetiva -, alicerça o entendimento de que "a responsabilidade pela recomposição ambiental é objetiva e </w:t>
      </w:r>
      <w:proofErr w:type="spellStart"/>
      <w:r w:rsidRPr="005B4BE5">
        <w:rPr>
          <w:rFonts w:ascii="Times New Roman" w:hAnsi="Times New Roman" w:cs="Times New Roman"/>
          <w:b/>
          <w:color w:val="4F6228" w:themeColor="accent3" w:themeShade="80"/>
        </w:rPr>
        <w:t>propter</w:t>
      </w:r>
      <w:proofErr w:type="spellEnd"/>
      <w:r w:rsidRPr="005B4BE5">
        <w:rPr>
          <w:rFonts w:ascii="Times New Roman" w:hAnsi="Times New Roman" w:cs="Times New Roman"/>
          <w:b/>
          <w:color w:val="4F6228" w:themeColor="accent3" w:themeShade="80"/>
        </w:rPr>
        <w:t xml:space="preserve"> rem, atingindo o proprietário do bem, independentemente de ter sido ele o causador do dano" (STJ, </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1.856.089/MG, Rel. Ministro SÉRGIO KUKINA, PRIMEIRA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25/06/2020).</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 xml:space="preserve">V. De outro lado, o anterior titular de direito real, que causou o dano, também se sujeita à obrigação ambiental, porque ela, além de ensejar responsabilidade civil, ostenta a marca da solidariedade, à luz dos </w:t>
      </w:r>
      <w:proofErr w:type="spellStart"/>
      <w:r w:rsidRPr="00285254">
        <w:rPr>
          <w:rFonts w:ascii="Times New Roman" w:hAnsi="Times New Roman" w:cs="Times New Roman"/>
          <w:b/>
          <w:color w:val="4F6228" w:themeColor="accent3" w:themeShade="80"/>
          <w:highlight w:val="yellow"/>
        </w:rPr>
        <w:t>arts</w:t>
      </w:r>
      <w:proofErr w:type="spellEnd"/>
      <w:r w:rsidRPr="00285254">
        <w:rPr>
          <w:rFonts w:ascii="Times New Roman" w:hAnsi="Times New Roman" w:cs="Times New Roman"/>
          <w:b/>
          <w:color w:val="4F6228" w:themeColor="accent3" w:themeShade="80"/>
          <w:highlight w:val="yellow"/>
        </w:rPr>
        <w:t>. 3º, IV, e 14, § 1º, da Lei 6.938/81, permitindo ao demandante, à sua escolha, dirigir sua pretensão contra o antigo proprietário ou possuidor, contra os atuais ou contra ambos.</w:t>
      </w:r>
      <w:r w:rsidRPr="005B4BE5">
        <w:rPr>
          <w:rFonts w:ascii="Times New Roman" w:hAnsi="Times New Roman" w:cs="Times New Roman"/>
          <w:b/>
          <w:color w:val="4F6228" w:themeColor="accent3" w:themeShade="80"/>
        </w:rPr>
        <w:t xml:space="preserve"> Nesse sentido: "A ação civil pública ou coletiva por danos ambientais pode ser proposta contra poluidor, a pessoa física ou jurídica, de direito público ou privado, responsável, direta ou indiretamente, por atividade causadora de degradação ambiental (art. 3º, IV, da Lei 6.898/91), </w:t>
      </w:r>
      <w:proofErr w:type="spellStart"/>
      <w:r w:rsidRPr="005B4BE5">
        <w:rPr>
          <w:rFonts w:ascii="Times New Roman" w:hAnsi="Times New Roman" w:cs="Times New Roman"/>
          <w:b/>
          <w:color w:val="4F6228" w:themeColor="accent3" w:themeShade="80"/>
        </w:rPr>
        <w:t>co-obrigados</w:t>
      </w:r>
      <w:proofErr w:type="spellEnd"/>
      <w:r w:rsidRPr="005B4BE5">
        <w:rPr>
          <w:rFonts w:ascii="Times New Roman" w:hAnsi="Times New Roman" w:cs="Times New Roman"/>
          <w:b/>
          <w:color w:val="4F6228" w:themeColor="accent3" w:themeShade="80"/>
        </w:rPr>
        <w:t xml:space="preserve"> solidariamente à indenização, mediante a formação litisconsórcio facultativo" (STJ,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884.150/MT, Rel. Ministro LUIZ FUX, PRIMEIRA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07/08/2008). E ainda: "Na linha da Súmula 623, cabe relembrar que a natureza </w:t>
      </w:r>
      <w:proofErr w:type="spellStart"/>
      <w:r w:rsidRPr="005B4BE5">
        <w:rPr>
          <w:rFonts w:ascii="Times New Roman" w:hAnsi="Times New Roman" w:cs="Times New Roman"/>
          <w:b/>
          <w:color w:val="4F6228" w:themeColor="accent3" w:themeShade="80"/>
        </w:rPr>
        <w:t>propter</w:t>
      </w:r>
      <w:proofErr w:type="spellEnd"/>
      <w:r w:rsidRPr="005B4BE5">
        <w:rPr>
          <w:rFonts w:ascii="Times New Roman" w:hAnsi="Times New Roman" w:cs="Times New Roman"/>
          <w:b/>
          <w:color w:val="4F6228" w:themeColor="accent3" w:themeShade="80"/>
        </w:rPr>
        <w:t xml:space="preserve"> rem não afasta a solidariedade da obrigação ambiental. O caráter adesivo da obrigação, que acompanha o bem, não bloqueia a pertinência e os efeitos da solidariedade. Caracterizaria verdadeiro despropósito ético-jurídico que a feição </w:t>
      </w:r>
      <w:proofErr w:type="spellStart"/>
      <w:r w:rsidRPr="005B4BE5">
        <w:rPr>
          <w:rFonts w:ascii="Times New Roman" w:hAnsi="Times New Roman" w:cs="Times New Roman"/>
          <w:b/>
          <w:color w:val="4F6228" w:themeColor="accent3" w:themeShade="80"/>
        </w:rPr>
        <w:t>propter</w:t>
      </w:r>
      <w:proofErr w:type="spellEnd"/>
      <w:r w:rsidRPr="005B4BE5">
        <w:rPr>
          <w:rFonts w:ascii="Times New Roman" w:hAnsi="Times New Roman" w:cs="Times New Roman"/>
          <w:b/>
          <w:color w:val="4F6228" w:themeColor="accent3" w:themeShade="80"/>
        </w:rPr>
        <w:t xml:space="preserve"> rem servisse para isentar o real causador (beneficiário da deterioração) de responsabilidade" (STJ, </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AREsp</w:t>
      </w:r>
      <w:proofErr w:type="spellEnd"/>
      <w:r w:rsidRPr="005B4BE5">
        <w:rPr>
          <w:rFonts w:ascii="Times New Roman" w:hAnsi="Times New Roman" w:cs="Times New Roman"/>
          <w:b/>
          <w:color w:val="4F6228" w:themeColor="accent3" w:themeShade="80"/>
        </w:rPr>
        <w:t xml:space="preserve"> 1.995.069/SP, Rel. Ministro HERMAN BENJAMIN,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05/09/2022).</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 xml:space="preserve">VI. Assim, de acordo com a mais atual jurisprudência do STJ, "a responsabilidade civil por danos ambientais é </w:t>
      </w:r>
      <w:proofErr w:type="spellStart"/>
      <w:r w:rsidRPr="00285254">
        <w:rPr>
          <w:rFonts w:ascii="Times New Roman" w:hAnsi="Times New Roman" w:cs="Times New Roman"/>
          <w:b/>
          <w:color w:val="4F6228" w:themeColor="accent3" w:themeShade="80"/>
          <w:highlight w:val="yellow"/>
        </w:rPr>
        <w:t>propter</w:t>
      </w:r>
      <w:proofErr w:type="spellEnd"/>
      <w:r w:rsidRPr="00285254">
        <w:rPr>
          <w:rFonts w:ascii="Times New Roman" w:hAnsi="Times New Roman" w:cs="Times New Roman"/>
          <w:b/>
          <w:color w:val="4F6228" w:themeColor="accent3" w:themeShade="80"/>
          <w:highlight w:val="yellow"/>
        </w:rPr>
        <w:t xml:space="preserve"> rem, além de objetiva e solidária entre todos os causadores diretos e indiretos do dano" (</w:t>
      </w:r>
      <w:proofErr w:type="spellStart"/>
      <w:r w:rsidRPr="00285254">
        <w:rPr>
          <w:rFonts w:ascii="Times New Roman" w:hAnsi="Times New Roman" w:cs="Times New Roman"/>
          <w:b/>
          <w:color w:val="4F6228" w:themeColor="accent3" w:themeShade="80"/>
          <w:highlight w:val="yellow"/>
        </w:rPr>
        <w:t>AgInt</w:t>
      </w:r>
      <w:proofErr w:type="spellEnd"/>
      <w:r w:rsidRPr="00285254">
        <w:rPr>
          <w:rFonts w:ascii="Times New Roman" w:hAnsi="Times New Roman" w:cs="Times New Roman"/>
          <w:b/>
          <w:color w:val="4F6228" w:themeColor="accent3" w:themeShade="80"/>
          <w:highlight w:val="yellow"/>
        </w:rPr>
        <w:t xml:space="preserve"> no </w:t>
      </w:r>
      <w:proofErr w:type="spellStart"/>
      <w:r w:rsidRPr="00285254">
        <w:rPr>
          <w:rFonts w:ascii="Times New Roman" w:hAnsi="Times New Roman" w:cs="Times New Roman"/>
          <w:b/>
          <w:color w:val="4F6228" w:themeColor="accent3" w:themeShade="80"/>
          <w:highlight w:val="yellow"/>
        </w:rPr>
        <w:t>AREsp</w:t>
      </w:r>
      <w:proofErr w:type="spellEnd"/>
      <w:r w:rsidRPr="00285254">
        <w:rPr>
          <w:rFonts w:ascii="Times New Roman" w:hAnsi="Times New Roman" w:cs="Times New Roman"/>
          <w:b/>
          <w:color w:val="4F6228" w:themeColor="accent3" w:themeShade="80"/>
          <w:highlight w:val="yellow"/>
        </w:rPr>
        <w:t xml:space="preserve"> 2.115.021/SP, Rel. Ministro FRANCISCO FALCÃO, SEGUNDA TURMA, </w:t>
      </w:r>
      <w:proofErr w:type="spellStart"/>
      <w:r w:rsidRPr="00285254">
        <w:rPr>
          <w:rFonts w:ascii="Times New Roman" w:hAnsi="Times New Roman" w:cs="Times New Roman"/>
          <w:b/>
          <w:color w:val="4F6228" w:themeColor="accent3" w:themeShade="80"/>
          <w:highlight w:val="yellow"/>
        </w:rPr>
        <w:t>DJe</w:t>
      </w:r>
      <w:proofErr w:type="spellEnd"/>
      <w:r w:rsidRPr="00285254">
        <w:rPr>
          <w:rFonts w:ascii="Times New Roman" w:hAnsi="Times New Roman" w:cs="Times New Roman"/>
          <w:b/>
          <w:color w:val="4F6228" w:themeColor="accent3" w:themeShade="80"/>
          <w:highlight w:val="yellow"/>
        </w:rPr>
        <w:t xml:space="preserve"> de 16/03/2023).</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VII. Situação que merece exame particularizado é a do anterior titular que não deu causa a dano ambiental ou a irregularidade. A hipótese pode ocorrer de duas formas. A primeira acontece quando o dano é posterior à cessação do domínio ou da posse do alienante, situação em que ele, em regra, não pode ser responsabilizado, a não ser que, e.g., tenha ele, mesmo já sem a posse ou a propriedade, retornado à área, a qualquer outro título, para degradá-la, hipótese em que responderá, como qualquer agente que realiza atividade causadora de degradação ambiental, com fundamento no art. 3º, IV, da Lei 6.938/81, que prevê, como poluidor, o "responsável direta ou indiretamente, por atividade causadora de degradação ambiental".</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Isso porque a obrigação do anterior titular baseia-se no aludido art. 3º, IV, da Lei 6.938/81, que torna solidariamente responsável aquele que, de alguma forma, realiza "atividade causadora de degradação ambiental", e, consoante a jurisprudência, embora a responsabilidade civil ambiental seja objetiva, "há de se constatar o nexo causal entre a ação ou omissão e o dano causado, para configurar a responsabilidade" (STJ, </w:t>
      </w:r>
      <w:proofErr w:type="spellStart"/>
      <w:r w:rsidRPr="005B4BE5">
        <w:rPr>
          <w:rFonts w:ascii="Times New Roman" w:hAnsi="Times New Roman" w:cs="Times New Roman"/>
          <w:b/>
          <w:color w:val="4F6228" w:themeColor="accent3" w:themeShade="80"/>
        </w:rPr>
        <w:t>AgRg</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1.286.142/SC, Rel. Ministro MAURO CAMPBELL MARQUES,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28/02/2013).</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Em igual sentido: "A responsabilidade por danos ambientais é objetiva e, como tal, não exige a comprovação de culpa, bastando a constatação do dano e do nexo de causalidade. Excetuam-se à regra, dispensando a prova do nexo de causalidade, a responsabilidade de adquirente de imóvel já danificado porque, independentemente de ter sido ele ou o dono anterior o real causador dos estragos, imputa-se ao novo proprietário a responsabilidade pelos danos. Precedentes do STJ. A solidariedade nessa hipótese decorre da dicção dos </w:t>
      </w:r>
      <w:proofErr w:type="spellStart"/>
      <w:r w:rsidRPr="005B4BE5">
        <w:rPr>
          <w:rFonts w:ascii="Times New Roman" w:hAnsi="Times New Roman" w:cs="Times New Roman"/>
          <w:b/>
          <w:color w:val="4F6228" w:themeColor="accent3" w:themeShade="80"/>
        </w:rPr>
        <w:t>arts</w:t>
      </w:r>
      <w:proofErr w:type="spellEnd"/>
      <w:r w:rsidRPr="005B4BE5">
        <w:rPr>
          <w:rFonts w:ascii="Times New Roman" w:hAnsi="Times New Roman" w:cs="Times New Roman"/>
          <w:b/>
          <w:color w:val="4F6228" w:themeColor="accent3" w:themeShade="80"/>
        </w:rPr>
        <w:t xml:space="preserve">. 3º, inc. IV, e 14, § 1º, da Lei 6.398/1981 (Lei da Política Nacional do Meio Ambiente)" (STJ,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1.056.540/GO, Rel. Ministra ELIANA CALMON,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w:t>
      </w:r>
      <w:r w:rsidRPr="005B4BE5">
        <w:rPr>
          <w:rFonts w:ascii="Times New Roman" w:hAnsi="Times New Roman" w:cs="Times New Roman"/>
          <w:b/>
          <w:color w:val="4F6228" w:themeColor="accent3" w:themeShade="80"/>
        </w:rPr>
        <w:lastRenderedPageBreak/>
        <w:t xml:space="preserve">14/09/2009). A segunda situação a ser examinada é a do anterior titular que conviveu com dano ambiental pré-existente, ainda que a ele não tenha dado causa, alienando o bem no estado em que o recebera. Nessa hipótese, não há como deixar de reconhecer a prática de omissão ilícita, na linha da jurisprudência do STJ, que - por imperativo ético e jurídico - não admite que aquele que deixou de reparar o ilícito, e eventualmente dele se beneficiou, fique isento de responsabilidade. Nessa direção: "Para o fim de apuração do nexo de causalidade no dano ambiental, equiparam-se quem faz, quem não faz quando deveria fazer, quem deixa fazer, quem não se importa que façam, quem financia para que façam, e quem se beneficia quando outros fazem" (STJ,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650.728/SC, Rel. Ministro HERMAN BENJAMIN,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02/12/2009).</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Sintetizando esse entendimento, conclui-se que o anterior titular só não estará obrigado a satisfazer a obrigação ambiental quando comprovado que não causou o dano, direta ou indiretamente, e que este é posterior à cessação de sua propriedade ou posse.</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VIII. No caso concreto - como se destacou -, o Tribunal a quo reconheceu que "a obrigação não foi cumprida em razão da alienação do imóvel" pela ré, razão pela qual concluiu que "eventuais obrigações pecuniárias continuam sendo também de responsabilidade da apelante". Apesar disso, afastou as demais obrigações impostas à ré pela sentença - inclusive a obrigação de fazer consistente em remover a construção de alvenaria do interior da área de preservação permanente e em reparar integralmente a área -, sob o fundamento de que exigir o seu cumprimento do anterior proprietário seria inócuo, porquanto "a alienação do imóvel, por si só, inviabiliza o cumprimento das obrigações de fazer, na medida em que não subsiste qualquer dos poderes inerentes ao exercício da propriedade, notadamente a posse". Essa fundamentação não se sustenta, porquanto, na sistemática do CPC/2015, as pretensões deduzidas em ações relativas a prestações de fazer e de não fazer podem ser convertidas em perdas e danos, na forma do art. 499 do CPC vigente. De igual forma, a execução de obrigação de fazer ou de não fazer pode ser realizada à custa do executado ou convertida em perdas e danos, consoante previsão dos </w:t>
      </w:r>
      <w:proofErr w:type="spellStart"/>
      <w:r w:rsidRPr="005B4BE5">
        <w:rPr>
          <w:rFonts w:ascii="Times New Roman" w:hAnsi="Times New Roman" w:cs="Times New Roman"/>
          <w:b/>
          <w:color w:val="4F6228" w:themeColor="accent3" w:themeShade="80"/>
        </w:rPr>
        <w:t>arts</w:t>
      </w:r>
      <w:proofErr w:type="spellEnd"/>
      <w:r w:rsidRPr="005B4BE5">
        <w:rPr>
          <w:rFonts w:ascii="Times New Roman" w:hAnsi="Times New Roman" w:cs="Times New Roman"/>
          <w:b/>
          <w:color w:val="4F6228" w:themeColor="accent3" w:themeShade="80"/>
        </w:rPr>
        <w:t>. 815, 816, 817 e 823 do CPC/2015.</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IX. Assim, se, por qualquer razão, for impossível a concessão de tutela específica, a consequência estabelecida pelo CPC/2015 não é - como se fez no acórdão recorrido - a improcedência do pedido, mas a conversão em perdas e danos, ou, ainda, na fase de cumprimento de sentença, a mesma conversão ou a execução por terceiro, à custa do devedor. Assim, a solução dada pelo Tribunal de origem viola a legislação processual e, ainda, conduz à </w:t>
      </w:r>
      <w:proofErr w:type="spellStart"/>
      <w:r w:rsidRPr="005B4BE5">
        <w:rPr>
          <w:rFonts w:ascii="Times New Roman" w:hAnsi="Times New Roman" w:cs="Times New Roman"/>
          <w:b/>
          <w:color w:val="4F6228" w:themeColor="accent3" w:themeShade="80"/>
        </w:rPr>
        <w:t>inefetividade</w:t>
      </w:r>
      <w:proofErr w:type="spellEnd"/>
      <w:r w:rsidRPr="005B4BE5">
        <w:rPr>
          <w:rFonts w:ascii="Times New Roman" w:hAnsi="Times New Roman" w:cs="Times New Roman"/>
          <w:b/>
          <w:color w:val="4F6228" w:themeColor="accent3" w:themeShade="80"/>
        </w:rPr>
        <w:t xml:space="preserve"> da jurisprudência do STJ, que deixaria sempre de ser aplicada, em situações como a dos autos.</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X. Impõe-se, pois, no caso concreto, o acolhimento da pretensão recursal, a fim de que seja restabelecida a sentença, que julgou procedentes os pedidos e estabeleceu que "os danos ambientais que se mostrarem técnica e absolutamente não restauráveis deverão ser apurados em fase de liquidação do julgado".</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XI. Tese jurídica firmada: "As obrigações ambientais possuem natureza </w:t>
      </w:r>
      <w:proofErr w:type="spellStart"/>
      <w:r w:rsidRPr="005B4BE5">
        <w:rPr>
          <w:rFonts w:ascii="Times New Roman" w:hAnsi="Times New Roman" w:cs="Times New Roman"/>
          <w:b/>
          <w:color w:val="4F6228" w:themeColor="accent3" w:themeShade="80"/>
        </w:rPr>
        <w:t>propter</w:t>
      </w:r>
      <w:proofErr w:type="spellEnd"/>
      <w:r w:rsidRPr="005B4BE5">
        <w:rPr>
          <w:rFonts w:ascii="Times New Roman" w:hAnsi="Times New Roman" w:cs="Times New Roman"/>
          <w:b/>
          <w:color w:val="4F6228" w:themeColor="accent3" w:themeShade="80"/>
        </w:rPr>
        <w:t xml:space="preserve"> rem, sendo possível exigi-las, à escolha do credor, do proprietário ou possuidor atual, de qualquer dos anteriores, ou de ambos, ficando isento de responsabilidade o alienante cujo direito real tenha cessado antes da causação do dano, desde que para ele não tenha concorrido, direta ou indiretamente."</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XII. Caso concreto: Recurso Especial conhecido e provido.</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XIII. Recurso julgado sob a sistemática dos recursos especiais representativos de controvérsia (art. 1.036 e seguintes do CPC/2005 e art. 256-N e seguintes do RISTJ).</w:t>
      </w:r>
    </w:p>
    <w:p w:rsid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n. 1.953.359/SP, relatora Ministra </w:t>
      </w:r>
      <w:proofErr w:type="spellStart"/>
      <w:r w:rsidRPr="005B4BE5">
        <w:rPr>
          <w:rFonts w:ascii="Times New Roman" w:hAnsi="Times New Roman" w:cs="Times New Roman"/>
          <w:b/>
          <w:color w:val="4F6228" w:themeColor="accent3" w:themeShade="80"/>
        </w:rPr>
        <w:t>Assusete</w:t>
      </w:r>
      <w:proofErr w:type="spellEnd"/>
      <w:r w:rsidRPr="005B4BE5">
        <w:rPr>
          <w:rFonts w:ascii="Times New Roman" w:hAnsi="Times New Roman" w:cs="Times New Roman"/>
          <w:b/>
          <w:color w:val="4F6228" w:themeColor="accent3" w:themeShade="80"/>
        </w:rPr>
        <w:t xml:space="preserve"> Magalhães, Primeira Seção, julgado em 13/9/2023,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26/9/2023.)</w:t>
      </w:r>
    </w:p>
    <w:p w:rsidR="005B4BE5" w:rsidRDefault="005B4BE5" w:rsidP="00DE7D36">
      <w:pPr>
        <w:widowControl w:val="0"/>
        <w:rPr>
          <w:rFonts w:ascii="Times New Roman" w:hAnsi="Times New Roman" w:cs="Times New Roman"/>
          <w:b/>
          <w:color w:val="4F6228" w:themeColor="accent3" w:themeShade="80"/>
        </w:rPr>
      </w:pPr>
    </w:p>
    <w:p w:rsidR="005B4BE5" w:rsidRDefault="005B4BE5" w:rsidP="00DE7D36">
      <w:pPr>
        <w:widowControl w:val="0"/>
        <w:rPr>
          <w:rFonts w:ascii="Times New Roman" w:hAnsi="Times New Roman" w:cs="Times New Roman"/>
          <w:b/>
          <w:color w:val="4F6228" w:themeColor="accent3" w:themeShade="80"/>
        </w:rPr>
      </w:pPr>
    </w:p>
    <w:p w:rsidR="00380AA9" w:rsidRDefault="00380AA9" w:rsidP="00285254">
      <w:pPr>
        <w:widowControl w:val="0"/>
        <w:spacing w:line="240" w:lineRule="auto"/>
        <w:rPr>
          <w:rFonts w:ascii="Times New Roman" w:hAnsi="Times New Roman" w:cs="Times New Roman"/>
          <w:b/>
          <w:color w:val="4F6228" w:themeColor="accent3" w:themeShade="80"/>
        </w:rPr>
      </w:pPr>
    </w:p>
    <w:p w:rsidR="00380AA9" w:rsidRDefault="00380AA9" w:rsidP="00285254">
      <w:pPr>
        <w:widowControl w:val="0"/>
        <w:spacing w:line="240" w:lineRule="auto"/>
        <w:rPr>
          <w:rFonts w:ascii="Times New Roman" w:hAnsi="Times New Roman" w:cs="Times New Roman"/>
          <w:b/>
          <w:color w:val="4F6228" w:themeColor="accent3" w:themeShade="80"/>
        </w:rPr>
      </w:pP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lastRenderedPageBreak/>
        <w:t xml:space="preserve">PROCESSUAL CIVIL. AMBIENTAL. </w:t>
      </w:r>
      <w:proofErr w:type="gramStart"/>
      <w:r w:rsidRPr="005B4BE5">
        <w:rPr>
          <w:rFonts w:ascii="Times New Roman" w:hAnsi="Times New Roman" w:cs="Times New Roman"/>
          <w:b/>
          <w:color w:val="4F6228" w:themeColor="accent3" w:themeShade="80"/>
        </w:rPr>
        <w:t>EMBARGOS À</w:t>
      </w:r>
      <w:proofErr w:type="gramEnd"/>
      <w:r w:rsidRPr="005B4BE5">
        <w:rPr>
          <w:rFonts w:ascii="Times New Roman" w:hAnsi="Times New Roman" w:cs="Times New Roman"/>
          <w:b/>
          <w:color w:val="4F6228" w:themeColor="accent3" w:themeShade="80"/>
        </w:rPr>
        <w:t xml:space="preserve"> EXECUÇÃO. EXTINÇÃO DA EXECUÇÃO. RECUPERAÇÃO FLORESTAL. DESPROVIMENTO DO AGRAVO INTERNO. MANUTENÇÃO DA DECISÃO RECORRIDA. ADMISSIBILIDADE IMPLÍCITA. ACÓRDÃO EM DESCONFORMIDADE COM ENTENDIMENTO SO STJ. CÓDIGO FLORESTAL. TAC. CELWEBRADO SOB VIGÊNCIA DO CÓDIGO ANTERIOR. LEGISLAÇÃO VIGENTE NA ÉPOCA DA INFRAÇÃO.</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I - Na origem, trata-se de embargos </w:t>
      </w:r>
      <w:proofErr w:type="spellStart"/>
      <w:r w:rsidRPr="005B4BE5">
        <w:rPr>
          <w:rFonts w:ascii="Times New Roman" w:hAnsi="Times New Roman" w:cs="Times New Roman"/>
          <w:b/>
          <w:color w:val="4F6228" w:themeColor="accent3" w:themeShade="80"/>
        </w:rPr>
        <w:t>á</w:t>
      </w:r>
      <w:proofErr w:type="spellEnd"/>
      <w:r w:rsidRPr="005B4BE5">
        <w:rPr>
          <w:rFonts w:ascii="Times New Roman" w:hAnsi="Times New Roman" w:cs="Times New Roman"/>
          <w:b/>
          <w:color w:val="4F6228" w:themeColor="accent3" w:themeShade="80"/>
        </w:rPr>
        <w:t xml:space="preserve"> execução objetivando a extinção da execução visto que a embargante procedeu à recuperação florestal nos termos do TAC. Na sentença o pedido foi julgado procedente. No Tribunal a quo, a sentença foi mantida.</w:t>
      </w:r>
    </w:p>
    <w:p w:rsidR="00285254"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II - A Corte Especial deste Tribunal já se manifestou no sentido de que o juízo de admissibilidade do especial pode ser realizado de forma implícita, sem necessidade de exposição de motivos. Assim, o exame de mérito recursal já traduz o entendimento de que foram atendidos os requisitos extrínsecos e intrínsecos de sua admissibilidade, inexistindo necessidade de pronunciamento explícito pelo julgador a esse respeito. (</w:t>
      </w:r>
      <w:proofErr w:type="spellStart"/>
      <w:r w:rsidRPr="005B4BE5">
        <w:rPr>
          <w:rFonts w:ascii="Times New Roman" w:hAnsi="Times New Roman" w:cs="Times New Roman"/>
          <w:b/>
          <w:color w:val="4F6228" w:themeColor="accent3" w:themeShade="80"/>
        </w:rPr>
        <w:t>EREsp</w:t>
      </w:r>
      <w:proofErr w:type="spellEnd"/>
      <w:r w:rsidRPr="005B4BE5">
        <w:rPr>
          <w:rFonts w:ascii="Times New Roman" w:hAnsi="Times New Roman" w:cs="Times New Roman"/>
          <w:b/>
          <w:color w:val="4F6228" w:themeColor="accent3" w:themeShade="80"/>
        </w:rPr>
        <w:t xml:space="preserve"> 1.119.820/PI, relator Ministro Mauro Campbell Marques, Corte Especial,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19/12/2014). No mesmo sentido: </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1.865.084/MG, relator Ministro Raul Araújo, Quarta Turma, julgado em 10/8/2020,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26/8/2020; </w:t>
      </w:r>
      <w:proofErr w:type="spellStart"/>
      <w:r w:rsidRPr="005B4BE5">
        <w:rPr>
          <w:rFonts w:ascii="Times New Roman" w:hAnsi="Times New Roman" w:cs="Times New Roman"/>
          <w:b/>
          <w:color w:val="4F6228" w:themeColor="accent3" w:themeShade="80"/>
        </w:rPr>
        <w:t>AgRg</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1.429.300/SC, relator Ministro Humberto Martins,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25/6/2015; </w:t>
      </w:r>
      <w:proofErr w:type="spellStart"/>
      <w:r w:rsidRPr="005B4BE5">
        <w:rPr>
          <w:rFonts w:ascii="Times New Roman" w:hAnsi="Times New Roman" w:cs="Times New Roman"/>
          <w:b/>
          <w:color w:val="4F6228" w:themeColor="accent3" w:themeShade="80"/>
        </w:rPr>
        <w:t>AgRg</w:t>
      </w:r>
      <w:proofErr w:type="spellEnd"/>
      <w:r w:rsidRPr="005B4BE5">
        <w:rPr>
          <w:rFonts w:ascii="Times New Roman" w:hAnsi="Times New Roman" w:cs="Times New Roman"/>
          <w:b/>
          <w:color w:val="4F6228" w:themeColor="accent3" w:themeShade="80"/>
        </w:rPr>
        <w:t xml:space="preserve"> no Ag 1.421.517/AL, relatora Ministra </w:t>
      </w:r>
      <w:proofErr w:type="spellStart"/>
      <w:r w:rsidRPr="005B4BE5">
        <w:rPr>
          <w:rFonts w:ascii="Times New Roman" w:hAnsi="Times New Roman" w:cs="Times New Roman"/>
          <w:b/>
          <w:color w:val="4F6228" w:themeColor="accent3" w:themeShade="80"/>
        </w:rPr>
        <w:t>Assusete</w:t>
      </w:r>
      <w:proofErr w:type="spellEnd"/>
      <w:r w:rsidRPr="005B4BE5">
        <w:rPr>
          <w:rFonts w:ascii="Times New Roman" w:hAnsi="Times New Roman" w:cs="Times New Roman"/>
          <w:b/>
          <w:color w:val="4F6228" w:themeColor="accent3" w:themeShade="80"/>
        </w:rPr>
        <w:t xml:space="preserve"> Magalhães,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3/4/2014.) </w:t>
      </w:r>
    </w:p>
    <w:p w:rsidR="005B4BE5" w:rsidRPr="00285254" w:rsidRDefault="005B4BE5" w:rsidP="00285254">
      <w:pPr>
        <w:widowControl w:val="0"/>
        <w:spacing w:line="240" w:lineRule="auto"/>
        <w:rPr>
          <w:rFonts w:ascii="Times New Roman" w:hAnsi="Times New Roman" w:cs="Times New Roman"/>
          <w:b/>
          <w:color w:val="4F6228" w:themeColor="accent3" w:themeShade="80"/>
          <w:highlight w:val="yellow"/>
        </w:rPr>
      </w:pPr>
      <w:r w:rsidRPr="00285254">
        <w:rPr>
          <w:rFonts w:ascii="Times New Roman" w:hAnsi="Times New Roman" w:cs="Times New Roman"/>
          <w:b/>
          <w:color w:val="4F6228" w:themeColor="accent3" w:themeShade="80"/>
          <w:highlight w:val="yellow"/>
        </w:rPr>
        <w:t>III - No caso, o Tribunal de origem decidiu pela possibilidade de aplicação do novo Código Florestal para fins de adequação do TAC celebrado sob a vigência do código anterior, sendo desnecessária a averbação da área de reserva legal no Cartório de Registro de Imóveis - CRI diante da criação do Cadastro Ambiental Rural - CAR.</w:t>
      </w:r>
    </w:p>
    <w:p w:rsidR="005B4BE5" w:rsidRPr="00285254" w:rsidRDefault="005B4BE5" w:rsidP="00285254">
      <w:pPr>
        <w:widowControl w:val="0"/>
        <w:spacing w:line="240" w:lineRule="auto"/>
        <w:rPr>
          <w:rFonts w:ascii="Times New Roman" w:hAnsi="Times New Roman" w:cs="Times New Roman"/>
          <w:b/>
          <w:color w:val="4F6228" w:themeColor="accent3" w:themeShade="80"/>
          <w:highlight w:val="yellow"/>
        </w:rPr>
      </w:pPr>
      <w:r w:rsidRPr="00285254">
        <w:rPr>
          <w:rFonts w:ascii="Times New Roman" w:hAnsi="Times New Roman" w:cs="Times New Roman"/>
          <w:b/>
          <w:color w:val="4F6228" w:themeColor="accent3" w:themeShade="80"/>
          <w:highlight w:val="yellow"/>
        </w:rPr>
        <w:t xml:space="preserve">Entendeu, ademais, que o local apropriado para dar o registro e publicidade passou a ser do CAR, de modo que a averbação </w:t>
      </w:r>
      <w:proofErr w:type="gramStart"/>
      <w:r w:rsidRPr="00285254">
        <w:rPr>
          <w:rFonts w:ascii="Times New Roman" w:hAnsi="Times New Roman" w:cs="Times New Roman"/>
          <w:b/>
          <w:color w:val="4F6228" w:themeColor="accent3" w:themeShade="80"/>
          <w:highlight w:val="yellow"/>
        </w:rPr>
        <w:t>tornou-se</w:t>
      </w:r>
      <w:proofErr w:type="gramEnd"/>
      <w:r w:rsidRPr="00285254">
        <w:rPr>
          <w:rFonts w:ascii="Times New Roman" w:hAnsi="Times New Roman" w:cs="Times New Roman"/>
          <w:b/>
          <w:color w:val="4F6228" w:themeColor="accent3" w:themeShade="80"/>
          <w:highlight w:val="yellow"/>
        </w:rPr>
        <w:t xml:space="preserve"> secundária. Assim, "não se deixa de aplicar a nova lei porque ela é subjetivamente na ótica de alguns juristas mais branda ou benéfica.</w:t>
      </w:r>
    </w:p>
    <w:p w:rsidR="005B4BE5" w:rsidRPr="00285254" w:rsidRDefault="005B4BE5" w:rsidP="00285254">
      <w:pPr>
        <w:widowControl w:val="0"/>
        <w:spacing w:line="240" w:lineRule="auto"/>
        <w:rPr>
          <w:rFonts w:ascii="Times New Roman" w:hAnsi="Times New Roman" w:cs="Times New Roman"/>
          <w:b/>
          <w:color w:val="4F6228" w:themeColor="accent3" w:themeShade="80"/>
          <w:highlight w:val="yellow"/>
        </w:rPr>
      </w:pPr>
      <w:r w:rsidRPr="00285254">
        <w:rPr>
          <w:rFonts w:ascii="Times New Roman" w:hAnsi="Times New Roman" w:cs="Times New Roman"/>
          <w:b/>
          <w:color w:val="4F6228" w:themeColor="accent3" w:themeShade="80"/>
          <w:highlight w:val="yellow"/>
        </w:rPr>
        <w:t>Cuida-se de puro subjetivismo." (fl. 900).</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IV - O acórdão recorrido destoa da jurisprudência deste Superior Tribunal de Justiça, que não admite a retroatividade do Código Florestal atual a reger TAC celebrado sob a vigência do anterior código.</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 xml:space="preserve">V - Em outras palavras, com fundamento na prevalência da tutela do meio ambiente e diante da incidência do princípio tempus </w:t>
      </w:r>
      <w:proofErr w:type="spellStart"/>
      <w:r w:rsidRPr="00285254">
        <w:rPr>
          <w:rFonts w:ascii="Times New Roman" w:hAnsi="Times New Roman" w:cs="Times New Roman"/>
          <w:b/>
          <w:color w:val="4F6228" w:themeColor="accent3" w:themeShade="80"/>
          <w:highlight w:val="yellow"/>
        </w:rPr>
        <w:t>regit</w:t>
      </w:r>
      <w:proofErr w:type="spellEnd"/>
      <w:r w:rsidRPr="00285254">
        <w:rPr>
          <w:rFonts w:ascii="Times New Roman" w:hAnsi="Times New Roman" w:cs="Times New Roman"/>
          <w:b/>
          <w:color w:val="4F6228" w:themeColor="accent3" w:themeShade="80"/>
          <w:highlight w:val="yellow"/>
        </w:rPr>
        <w:t xml:space="preserve"> </w:t>
      </w:r>
      <w:proofErr w:type="spellStart"/>
      <w:r w:rsidRPr="00285254">
        <w:rPr>
          <w:rFonts w:ascii="Times New Roman" w:hAnsi="Times New Roman" w:cs="Times New Roman"/>
          <w:b/>
          <w:color w:val="4F6228" w:themeColor="accent3" w:themeShade="80"/>
          <w:highlight w:val="yellow"/>
        </w:rPr>
        <w:t>actum</w:t>
      </w:r>
      <w:proofErr w:type="spellEnd"/>
      <w:r w:rsidRPr="00285254">
        <w:rPr>
          <w:rFonts w:ascii="Times New Roman" w:hAnsi="Times New Roman" w:cs="Times New Roman"/>
          <w:b/>
          <w:color w:val="4F6228" w:themeColor="accent3" w:themeShade="80"/>
          <w:highlight w:val="yellow"/>
        </w:rPr>
        <w:t>, tem-se que o atual Código Florestal não pode retroagir para atingir o ato jurídico perfeito, os direitos ambientais adquiridos, tampouco para reduzir a proteção, preservação e restauração dos processos ecológicos essenciais (</w:t>
      </w:r>
      <w:proofErr w:type="spellStart"/>
      <w:r w:rsidRPr="00285254">
        <w:rPr>
          <w:rFonts w:ascii="Times New Roman" w:hAnsi="Times New Roman" w:cs="Times New Roman"/>
          <w:b/>
          <w:color w:val="4F6228" w:themeColor="accent3" w:themeShade="80"/>
          <w:highlight w:val="yellow"/>
        </w:rPr>
        <w:t>AgRg</w:t>
      </w:r>
      <w:proofErr w:type="spellEnd"/>
      <w:r w:rsidRPr="00285254">
        <w:rPr>
          <w:rFonts w:ascii="Times New Roman" w:hAnsi="Times New Roman" w:cs="Times New Roman"/>
          <w:b/>
          <w:color w:val="4F6228" w:themeColor="accent3" w:themeShade="80"/>
          <w:highlight w:val="yellow"/>
        </w:rPr>
        <w:t xml:space="preserve"> no </w:t>
      </w:r>
      <w:proofErr w:type="spellStart"/>
      <w:r w:rsidRPr="00285254">
        <w:rPr>
          <w:rFonts w:ascii="Times New Roman" w:hAnsi="Times New Roman" w:cs="Times New Roman"/>
          <w:b/>
          <w:color w:val="4F6228" w:themeColor="accent3" w:themeShade="80"/>
          <w:highlight w:val="yellow"/>
        </w:rPr>
        <w:t>REsp</w:t>
      </w:r>
      <w:proofErr w:type="spellEnd"/>
      <w:r w:rsidRPr="00285254">
        <w:rPr>
          <w:rFonts w:ascii="Times New Roman" w:hAnsi="Times New Roman" w:cs="Times New Roman"/>
          <w:b/>
          <w:color w:val="4F6228" w:themeColor="accent3" w:themeShade="80"/>
          <w:highlight w:val="yellow"/>
        </w:rPr>
        <w:t xml:space="preserve"> 1.434.797/PR, Rel. Ministro Humberto Martins, Segunda Turma, </w:t>
      </w:r>
      <w:proofErr w:type="spellStart"/>
      <w:r w:rsidRPr="00285254">
        <w:rPr>
          <w:rFonts w:ascii="Times New Roman" w:hAnsi="Times New Roman" w:cs="Times New Roman"/>
          <w:b/>
          <w:color w:val="4F6228" w:themeColor="accent3" w:themeShade="80"/>
          <w:highlight w:val="yellow"/>
        </w:rPr>
        <w:t>DJe</w:t>
      </w:r>
      <w:proofErr w:type="spellEnd"/>
      <w:r w:rsidRPr="00285254">
        <w:rPr>
          <w:rFonts w:ascii="Times New Roman" w:hAnsi="Times New Roman" w:cs="Times New Roman"/>
          <w:b/>
          <w:color w:val="4F6228" w:themeColor="accent3" w:themeShade="80"/>
          <w:highlight w:val="yellow"/>
        </w:rPr>
        <w:t xml:space="preserve"> 7/6/2016).</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285254">
        <w:rPr>
          <w:rFonts w:ascii="Times New Roman" w:hAnsi="Times New Roman" w:cs="Times New Roman"/>
          <w:b/>
          <w:color w:val="4F6228" w:themeColor="accent3" w:themeShade="80"/>
          <w:highlight w:val="yellow"/>
        </w:rPr>
        <w:t>VI - Na espécie, o regime jurídico que incide sobre as obrigações do TAC objeto dos autos é o do momento da celebração, antigo Código Florestal (Lei n. 4.771/1965), que não permitia o cômputo da APP em área de reserva legal da propriedade, determinava a averbação da área de reserva legal no CRI, além de impor outras restrições à exploração da vegetação nativa.</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 xml:space="preserve">VII - Nesse contexto, prevalece a norma mais benéfica ao meio ambiente, que é direito fundamental e difuso, em detrimento do direito individual causador do dano. Nesse sentido, confiram-se julgados deste Superior Tribunal de Justiça: </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AREsp</w:t>
      </w:r>
      <w:proofErr w:type="spellEnd"/>
      <w:r w:rsidRPr="005B4BE5">
        <w:rPr>
          <w:rFonts w:ascii="Times New Roman" w:hAnsi="Times New Roman" w:cs="Times New Roman"/>
          <w:b/>
          <w:color w:val="4F6228" w:themeColor="accent3" w:themeShade="80"/>
        </w:rPr>
        <w:t xml:space="preserve"> 1.145.207/SP, Rel. Ministro Francisco Falcão, Segunda Turma, julgado em 9/8/2021,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13/8/2021;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1714551/SP, Rel. Ministro Herman Benjamin, Segunda Turma, julgado em 24/4/2018,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8/9/2020;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1.715.929/SP, Rel. Ministro Mauro Campbell Marques, Segunda Turma, julgado em 20/2/2018,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26/2/2018.</w:t>
      </w:r>
    </w:p>
    <w:p w:rsidR="00285254"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VIII - Assim, ao contrário do que decidiu o Tribunal de origem, não há razão para entender que é desnecessária a averbação da área de reserva legal no Cartório de Registro de Imóveis - CRI diante da criação do Cadastro Ambiental Rural - CAR. Confira-se: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1.758.991/MG, Rel. Ministro Herman Benjamin, Segunda Turma, julgado em 21/5/2019,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19/12/2019.) </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lastRenderedPageBreak/>
        <w:t xml:space="preserve">IX - Ainda que o STF tenha declarado a constitucionalidade do Novo Código Florestal, o STJ vem entendendo que, nas hipóteses conforme o presente caso, deve prevalecer a legislação vigente ao tempo da infração ambiental. Nesse sentido: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1802754 / SP, relator Ministro Herman Benjamin,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11/09/2020, </w:t>
      </w:r>
      <w:proofErr w:type="spellStart"/>
      <w:r w:rsidRPr="005B4BE5">
        <w:rPr>
          <w:rFonts w:ascii="Times New Roman" w:hAnsi="Times New Roman" w:cs="Times New Roman"/>
          <w:b/>
          <w:color w:val="4F6228" w:themeColor="accent3" w:themeShade="80"/>
        </w:rPr>
        <w:t>EDcl</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n. 1.731.932/MG, relator Ministro </w:t>
      </w:r>
      <w:proofErr w:type="spellStart"/>
      <w:r w:rsidRPr="005B4BE5">
        <w:rPr>
          <w:rFonts w:ascii="Times New Roman" w:hAnsi="Times New Roman" w:cs="Times New Roman"/>
          <w:b/>
          <w:color w:val="4F6228" w:themeColor="accent3" w:themeShade="80"/>
        </w:rPr>
        <w:t>Og</w:t>
      </w:r>
      <w:proofErr w:type="spellEnd"/>
      <w:r w:rsidRPr="005B4BE5">
        <w:rPr>
          <w:rFonts w:ascii="Times New Roman" w:hAnsi="Times New Roman" w:cs="Times New Roman"/>
          <w:b/>
          <w:color w:val="4F6228" w:themeColor="accent3" w:themeShade="80"/>
        </w:rPr>
        <w:t xml:space="preserve"> Fernandes,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14/5/2020, </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n. 1.688.885/SP, relator Ministro Herman Benjamin, Segunda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20/10/2020,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n. 1.646.193/SP, relator Ministro Napoleão Nunes Maia Filho, relator para o acórdão Ministro Gurgel de Faria, Primeira Turma,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4/6/2020.</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X - Correta a decisão que deu provimento ao recurso especial para determinar o cumprimento do TAC objeto dos autos, sob a regência da Lei n. 4.771/1965, e obrigar à averbação da área de reserva legal no CRI.</w:t>
      </w:r>
    </w:p>
    <w:p w:rsidR="005B4BE5" w:rsidRP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XI - Agravo interno improvido.</w:t>
      </w:r>
    </w:p>
    <w:p w:rsidR="005B4BE5" w:rsidRDefault="005B4BE5" w:rsidP="00285254">
      <w:pPr>
        <w:widowControl w:val="0"/>
        <w:spacing w:line="240" w:lineRule="auto"/>
        <w:rPr>
          <w:rFonts w:ascii="Times New Roman" w:hAnsi="Times New Roman" w:cs="Times New Roman"/>
          <w:b/>
          <w:color w:val="4F6228" w:themeColor="accent3" w:themeShade="80"/>
        </w:rPr>
      </w:pPr>
      <w:r w:rsidRPr="005B4BE5">
        <w:rPr>
          <w:rFonts w:ascii="Times New Roman" w:hAnsi="Times New Roman" w:cs="Times New Roman"/>
          <w:b/>
          <w:color w:val="4F6228" w:themeColor="accent3" w:themeShade="80"/>
        </w:rPr>
        <w:t>(</w:t>
      </w:r>
      <w:proofErr w:type="spellStart"/>
      <w:r w:rsidRPr="005B4BE5">
        <w:rPr>
          <w:rFonts w:ascii="Times New Roman" w:hAnsi="Times New Roman" w:cs="Times New Roman"/>
          <w:b/>
          <w:color w:val="4F6228" w:themeColor="accent3" w:themeShade="80"/>
        </w:rPr>
        <w:t>AgInt</w:t>
      </w:r>
      <w:proofErr w:type="spellEnd"/>
      <w:r w:rsidRPr="005B4BE5">
        <w:rPr>
          <w:rFonts w:ascii="Times New Roman" w:hAnsi="Times New Roman" w:cs="Times New Roman"/>
          <w:b/>
          <w:color w:val="4F6228" w:themeColor="accent3" w:themeShade="80"/>
        </w:rPr>
        <w:t xml:space="preserve"> nos </w:t>
      </w:r>
      <w:proofErr w:type="spellStart"/>
      <w:r w:rsidRPr="005B4BE5">
        <w:rPr>
          <w:rFonts w:ascii="Times New Roman" w:hAnsi="Times New Roman" w:cs="Times New Roman"/>
          <w:b/>
          <w:color w:val="4F6228" w:themeColor="accent3" w:themeShade="80"/>
        </w:rPr>
        <w:t>EDcl</w:t>
      </w:r>
      <w:proofErr w:type="spellEnd"/>
      <w:r w:rsidRPr="005B4BE5">
        <w:rPr>
          <w:rFonts w:ascii="Times New Roman" w:hAnsi="Times New Roman" w:cs="Times New Roman"/>
          <w:b/>
          <w:color w:val="4F6228" w:themeColor="accent3" w:themeShade="80"/>
        </w:rPr>
        <w:t xml:space="preserve"> no </w:t>
      </w:r>
      <w:proofErr w:type="spellStart"/>
      <w:r w:rsidRPr="005B4BE5">
        <w:rPr>
          <w:rFonts w:ascii="Times New Roman" w:hAnsi="Times New Roman" w:cs="Times New Roman"/>
          <w:b/>
          <w:color w:val="4F6228" w:themeColor="accent3" w:themeShade="80"/>
        </w:rPr>
        <w:t>REsp</w:t>
      </w:r>
      <w:proofErr w:type="spellEnd"/>
      <w:r w:rsidRPr="005B4BE5">
        <w:rPr>
          <w:rFonts w:ascii="Times New Roman" w:hAnsi="Times New Roman" w:cs="Times New Roman"/>
          <w:b/>
          <w:color w:val="4F6228" w:themeColor="accent3" w:themeShade="80"/>
        </w:rPr>
        <w:t xml:space="preserve"> n. 1.962.696/SP, relator Ministro Francisco Falcão, Segunda Turma, julgado em 14/8/2023, </w:t>
      </w:r>
      <w:proofErr w:type="spellStart"/>
      <w:r w:rsidRPr="005B4BE5">
        <w:rPr>
          <w:rFonts w:ascii="Times New Roman" w:hAnsi="Times New Roman" w:cs="Times New Roman"/>
          <w:b/>
          <w:color w:val="4F6228" w:themeColor="accent3" w:themeShade="80"/>
        </w:rPr>
        <w:t>DJe</w:t>
      </w:r>
      <w:proofErr w:type="spellEnd"/>
      <w:r w:rsidRPr="005B4BE5">
        <w:rPr>
          <w:rFonts w:ascii="Times New Roman" w:hAnsi="Times New Roman" w:cs="Times New Roman"/>
          <w:b/>
          <w:color w:val="4F6228" w:themeColor="accent3" w:themeShade="80"/>
        </w:rPr>
        <w:t xml:space="preserve"> de 16/8/2023.)</w:t>
      </w:r>
    </w:p>
    <w:p w:rsidR="005B4BE5" w:rsidRDefault="005B4BE5" w:rsidP="00DE7D36">
      <w:pPr>
        <w:widowControl w:val="0"/>
        <w:rPr>
          <w:rFonts w:ascii="Times New Roman" w:hAnsi="Times New Roman" w:cs="Times New Roman"/>
          <w:b/>
          <w:color w:val="4F6228" w:themeColor="accent3" w:themeShade="80"/>
        </w:rPr>
      </w:pPr>
    </w:p>
    <w:p w:rsidR="005B4BE5" w:rsidRDefault="005B4BE5" w:rsidP="00DE7D36">
      <w:pPr>
        <w:widowControl w:val="0"/>
        <w:rPr>
          <w:rFonts w:ascii="Times New Roman" w:hAnsi="Times New Roman" w:cs="Times New Roman"/>
          <w:b/>
          <w:color w:val="4F6228" w:themeColor="accent3" w:themeShade="80"/>
        </w:rPr>
      </w:pPr>
    </w:p>
    <w:p w:rsidR="00867501" w:rsidRPr="00867501" w:rsidRDefault="00867501" w:rsidP="00285254">
      <w:pPr>
        <w:widowControl w:val="0"/>
        <w:spacing w:line="240" w:lineRule="auto"/>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TRIBUTÁRIO. EMBARGOS DE DECLARAÇÃO NO AGRAVO REGIMENTAL NO RECURSO ESPECIAL. ITR. ÁREA DE RESERVA LEGAL. ISENÇÃO. NECESSIDADE DE AVERBAÇÃO NO REGISTRO DE IMÓVEIS. EMBARGOS ACOLHIDOS COM EFEITOS INFRINGENTES.</w:t>
      </w:r>
    </w:p>
    <w:p w:rsidR="00867501" w:rsidRPr="00867501" w:rsidRDefault="00867501" w:rsidP="00285254">
      <w:pPr>
        <w:widowControl w:val="0"/>
        <w:spacing w:line="240" w:lineRule="auto"/>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 xml:space="preserve">1. É pacífico nesta Corte o entendimento segundo o qual é inexigível, para as áreas de preservação permanente, a apresentação do Ato Declaratório Ambiental com vistas à isenção do ITR. </w:t>
      </w:r>
      <w:r w:rsidRPr="003456BE">
        <w:rPr>
          <w:rFonts w:ascii="Times New Roman" w:hAnsi="Times New Roman" w:cs="Times New Roman"/>
          <w:b/>
          <w:color w:val="4F6228" w:themeColor="accent3" w:themeShade="80"/>
          <w:highlight w:val="yellow"/>
        </w:rPr>
        <w:t xml:space="preserve">Por outro lado, quando </w:t>
      </w:r>
      <w:proofErr w:type="spellStart"/>
      <w:r w:rsidRPr="003456BE">
        <w:rPr>
          <w:rFonts w:ascii="Times New Roman" w:hAnsi="Times New Roman" w:cs="Times New Roman"/>
          <w:b/>
          <w:color w:val="4F6228" w:themeColor="accent3" w:themeShade="80"/>
          <w:highlight w:val="yellow"/>
        </w:rPr>
        <w:t>de</w:t>
      </w:r>
      <w:proofErr w:type="spellEnd"/>
      <w:r w:rsidRPr="003456BE">
        <w:rPr>
          <w:rFonts w:ascii="Times New Roman" w:hAnsi="Times New Roman" w:cs="Times New Roman"/>
          <w:b/>
          <w:color w:val="4F6228" w:themeColor="accent3" w:themeShade="80"/>
          <w:highlight w:val="yellow"/>
        </w:rPr>
        <w:t xml:space="preserve"> trata de área de reserva legal, é imprescindível a sua averbação no respectivo registro imobiliário.</w:t>
      </w:r>
    </w:p>
    <w:p w:rsidR="00867501" w:rsidRPr="00867501" w:rsidRDefault="00867501" w:rsidP="00285254">
      <w:pPr>
        <w:widowControl w:val="0"/>
        <w:spacing w:line="240" w:lineRule="auto"/>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2. Embargos de declaração acolhidos, com atribuição de efeitos modificativos, para dar parcial provimento ao recurso especial.</w:t>
      </w:r>
    </w:p>
    <w:p w:rsidR="00867501" w:rsidRPr="00867501" w:rsidRDefault="00867501" w:rsidP="00285254">
      <w:pPr>
        <w:widowControl w:val="0"/>
        <w:spacing w:line="240" w:lineRule="auto"/>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w:t>
      </w:r>
      <w:proofErr w:type="spellStart"/>
      <w:r w:rsidRPr="00867501">
        <w:rPr>
          <w:rFonts w:ascii="Times New Roman" w:hAnsi="Times New Roman" w:cs="Times New Roman"/>
          <w:b/>
          <w:color w:val="4F6228" w:themeColor="accent3" w:themeShade="80"/>
        </w:rPr>
        <w:t>EDcl</w:t>
      </w:r>
      <w:proofErr w:type="spellEnd"/>
      <w:r w:rsidRPr="00867501">
        <w:rPr>
          <w:rFonts w:ascii="Times New Roman" w:hAnsi="Times New Roman" w:cs="Times New Roman"/>
          <w:b/>
          <w:color w:val="4F6228" w:themeColor="accent3" w:themeShade="80"/>
        </w:rPr>
        <w:t xml:space="preserve"> no </w:t>
      </w:r>
      <w:proofErr w:type="spellStart"/>
      <w:r w:rsidRPr="00867501">
        <w:rPr>
          <w:rFonts w:ascii="Times New Roman" w:hAnsi="Times New Roman" w:cs="Times New Roman"/>
          <w:b/>
          <w:color w:val="4F6228" w:themeColor="accent3" w:themeShade="80"/>
        </w:rPr>
        <w:t>AgRg</w:t>
      </w:r>
      <w:proofErr w:type="spellEnd"/>
      <w:r w:rsidRPr="00867501">
        <w:rPr>
          <w:rFonts w:ascii="Times New Roman" w:hAnsi="Times New Roman" w:cs="Times New Roman"/>
          <w:b/>
          <w:color w:val="4F6228" w:themeColor="accent3" w:themeShade="80"/>
        </w:rPr>
        <w:t xml:space="preserve"> no </w:t>
      </w:r>
      <w:proofErr w:type="spellStart"/>
      <w:r w:rsidRPr="00867501">
        <w:rPr>
          <w:rFonts w:ascii="Times New Roman" w:hAnsi="Times New Roman" w:cs="Times New Roman"/>
          <w:b/>
          <w:color w:val="4F6228" w:themeColor="accent3" w:themeShade="80"/>
        </w:rPr>
        <w:t>REsp</w:t>
      </w:r>
      <w:proofErr w:type="spellEnd"/>
      <w:r w:rsidRPr="00867501">
        <w:rPr>
          <w:rFonts w:ascii="Times New Roman" w:hAnsi="Times New Roman" w:cs="Times New Roman"/>
          <w:b/>
          <w:color w:val="4F6228" w:themeColor="accent3" w:themeShade="80"/>
        </w:rPr>
        <w:t xml:space="preserve"> 1315220/MG, Rel. Ministro ARNALDO ESTEVES LIMA, PRIMEIRA TURMA, julgado em 24/04/2014, </w:t>
      </w:r>
      <w:proofErr w:type="spellStart"/>
      <w:r w:rsidRPr="00867501">
        <w:rPr>
          <w:rFonts w:ascii="Times New Roman" w:hAnsi="Times New Roman" w:cs="Times New Roman"/>
          <w:b/>
          <w:color w:val="4F6228" w:themeColor="accent3" w:themeShade="80"/>
        </w:rPr>
        <w:t>DJe</w:t>
      </w:r>
      <w:proofErr w:type="spellEnd"/>
      <w:r w:rsidRPr="00867501">
        <w:rPr>
          <w:rFonts w:ascii="Times New Roman" w:hAnsi="Times New Roman" w:cs="Times New Roman"/>
          <w:b/>
          <w:color w:val="4F6228" w:themeColor="accent3" w:themeShade="80"/>
        </w:rPr>
        <w:t xml:space="preserve"> 08/05/2014)</w:t>
      </w:r>
    </w:p>
    <w:p w:rsidR="00867501" w:rsidRDefault="00867501" w:rsidP="00DE7D36">
      <w:pPr>
        <w:widowControl w:val="0"/>
        <w:rPr>
          <w:rFonts w:ascii="Times New Roman" w:hAnsi="Times New Roman" w:cs="Times New Roman"/>
          <w:sz w:val="26"/>
          <w:szCs w:val="26"/>
        </w:rPr>
      </w:pP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AMBIENTAL. PROCESSUAL CIVIL. OMISSÃO INEXISTENTE. INSTITUIÇÃO DE ÁREA DE RESERVA LEGAL. OBRIGAÇÃO PROPTER REM E EX LEGE. SÚMULA 83/STJ. APLICAÇÃO DO ART. 68 DO NOVO CÓDIGO FLORESTAL.</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IMPOSSIBILIDADE. DESRESPEITO AOS PERCENTUAIS EXIGIDOS PARA A ÁREA DE RESERVA LEGAL. VERIFICAÇÃO. IMPOSSIBILIDADE. SÚMULA 7/STJ. DEVER DE AVERBAÇÃO DA RESERVA LEGAL. IMPOSIÇÃO. PROVAS SUFICIENTES.</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DESNECESSIDADE DE REALIZAÇÃO DE PERÍCIA. CONJUNTO PROBATÓRIO. SÚMULA 7/STJ. PREJUDICADA A ANÁLISE DA DIVERGÊNCIA JURISPRUDENCIAL.</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AUSÊNCIA DE SIMILITUDE FÁTICA.</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1. Não há violação do art. 535 do CPC quando a prestação jurisdicional é dada na medida da pretensão deduzida, com enfrentamento e resolução das questões abordadas no recurso.</w:t>
      </w:r>
    </w:p>
    <w:p w:rsidR="00867501" w:rsidRPr="003456BE" w:rsidRDefault="00867501" w:rsidP="00285254">
      <w:pPr>
        <w:widowControl w:val="0"/>
        <w:spacing w:line="240" w:lineRule="auto"/>
        <w:rPr>
          <w:rFonts w:ascii="Times New Roman" w:hAnsi="Times New Roman" w:cs="Times New Roman"/>
          <w:b/>
          <w:color w:val="17365D" w:themeColor="text2" w:themeShade="BF"/>
          <w:highlight w:val="yellow"/>
        </w:rPr>
      </w:pPr>
      <w:r w:rsidRPr="003456BE">
        <w:rPr>
          <w:rFonts w:ascii="Times New Roman" w:hAnsi="Times New Roman" w:cs="Times New Roman"/>
          <w:b/>
          <w:color w:val="17365D" w:themeColor="text2" w:themeShade="BF"/>
          <w:highlight w:val="yellow"/>
        </w:rPr>
        <w:t xml:space="preserve">2. A jurisprudência desta Corte está firmada no sentido de que os deveres associados às </w:t>
      </w:r>
      <w:proofErr w:type="spellStart"/>
      <w:r w:rsidRPr="003456BE">
        <w:rPr>
          <w:rFonts w:ascii="Times New Roman" w:hAnsi="Times New Roman" w:cs="Times New Roman"/>
          <w:b/>
          <w:color w:val="17365D" w:themeColor="text2" w:themeShade="BF"/>
          <w:highlight w:val="yellow"/>
        </w:rPr>
        <w:t>APPs</w:t>
      </w:r>
      <w:proofErr w:type="spellEnd"/>
      <w:r w:rsidRPr="003456BE">
        <w:rPr>
          <w:rFonts w:ascii="Times New Roman" w:hAnsi="Times New Roman" w:cs="Times New Roman"/>
          <w:b/>
          <w:color w:val="17365D" w:themeColor="text2" w:themeShade="BF"/>
          <w:highlight w:val="yellow"/>
        </w:rPr>
        <w:t xml:space="preserve"> e à Reserva Legal têm natureza de obrigação </w:t>
      </w:r>
      <w:proofErr w:type="spellStart"/>
      <w:r w:rsidRPr="003456BE">
        <w:rPr>
          <w:rFonts w:ascii="Times New Roman" w:hAnsi="Times New Roman" w:cs="Times New Roman"/>
          <w:b/>
          <w:i/>
          <w:color w:val="17365D" w:themeColor="text2" w:themeShade="BF"/>
          <w:highlight w:val="yellow"/>
        </w:rPr>
        <w:t>propter</w:t>
      </w:r>
      <w:proofErr w:type="spellEnd"/>
      <w:r w:rsidRPr="003456BE">
        <w:rPr>
          <w:rFonts w:ascii="Times New Roman" w:hAnsi="Times New Roman" w:cs="Times New Roman"/>
          <w:b/>
          <w:i/>
          <w:color w:val="17365D" w:themeColor="text2" w:themeShade="BF"/>
          <w:highlight w:val="yellow"/>
        </w:rPr>
        <w:t xml:space="preserve"> rem</w:t>
      </w:r>
      <w:r w:rsidRPr="003456BE">
        <w:rPr>
          <w:rFonts w:ascii="Times New Roman" w:hAnsi="Times New Roman" w:cs="Times New Roman"/>
          <w:b/>
          <w:color w:val="17365D" w:themeColor="text2" w:themeShade="BF"/>
          <w:highlight w:val="yellow"/>
        </w:rPr>
        <w:t>, isto é, aderem ao título de domínio ou posse, independente do fato de ter sido ou não o proprietário o autor da degradação ambiental. Casos em que não há falar em culpa ou nexo causal como determinantes do dever de recuperar a área de preservação permanente.</w:t>
      </w:r>
    </w:p>
    <w:p w:rsidR="00867501" w:rsidRPr="003456BE" w:rsidRDefault="00867501" w:rsidP="00285254">
      <w:pPr>
        <w:widowControl w:val="0"/>
        <w:spacing w:line="240" w:lineRule="auto"/>
        <w:rPr>
          <w:rFonts w:ascii="Times New Roman" w:hAnsi="Times New Roman" w:cs="Times New Roman"/>
          <w:b/>
          <w:color w:val="17365D" w:themeColor="text2" w:themeShade="BF"/>
          <w:highlight w:val="yellow"/>
        </w:rPr>
      </w:pPr>
      <w:r w:rsidRPr="003456BE">
        <w:rPr>
          <w:rFonts w:ascii="Times New Roman" w:hAnsi="Times New Roman" w:cs="Times New Roman"/>
          <w:b/>
          <w:color w:val="17365D" w:themeColor="text2" w:themeShade="BF"/>
          <w:highlight w:val="yellow"/>
        </w:rPr>
        <w:t xml:space="preserve">3. Este Tribunal tem entendido que a obrigação de demarcar, averbar e restaurar a área de reserva legal nas propriedades rurais configura dever jurídico (obrigação </w:t>
      </w:r>
      <w:proofErr w:type="spellStart"/>
      <w:r w:rsidRPr="003456BE">
        <w:rPr>
          <w:rFonts w:ascii="Times New Roman" w:hAnsi="Times New Roman" w:cs="Times New Roman"/>
          <w:b/>
          <w:color w:val="17365D" w:themeColor="text2" w:themeShade="BF"/>
          <w:highlight w:val="yellow"/>
        </w:rPr>
        <w:t>ex</w:t>
      </w:r>
      <w:proofErr w:type="spellEnd"/>
      <w:r w:rsidRPr="003456BE">
        <w:rPr>
          <w:rFonts w:ascii="Times New Roman" w:hAnsi="Times New Roman" w:cs="Times New Roman"/>
          <w:b/>
          <w:color w:val="17365D" w:themeColor="text2" w:themeShade="BF"/>
          <w:highlight w:val="yellow"/>
        </w:rPr>
        <w:t xml:space="preserve"> lege) que se transfere automaticamente com a mudança do domínio, podendo, em consequência, ser imediatamente exigível do proprietário atual.</w:t>
      </w:r>
    </w:p>
    <w:p w:rsidR="00867501" w:rsidRPr="003456BE" w:rsidRDefault="00867501" w:rsidP="00285254">
      <w:pPr>
        <w:widowControl w:val="0"/>
        <w:spacing w:line="240" w:lineRule="auto"/>
        <w:rPr>
          <w:rFonts w:ascii="Times New Roman" w:hAnsi="Times New Roman" w:cs="Times New Roman"/>
          <w:b/>
          <w:color w:val="17365D" w:themeColor="text2" w:themeShade="BF"/>
          <w:highlight w:val="yellow"/>
        </w:rPr>
      </w:pPr>
      <w:r w:rsidRPr="003456BE">
        <w:rPr>
          <w:rFonts w:ascii="Times New Roman" w:hAnsi="Times New Roman" w:cs="Times New Roman"/>
          <w:b/>
          <w:color w:val="17365D" w:themeColor="text2" w:themeShade="BF"/>
          <w:highlight w:val="yellow"/>
        </w:rPr>
        <w:t xml:space="preserve">4. A Segunda Turma desta Corte firmou a orientação de inaplicabilidade de norma ambiental superveniente de cunho material aos processos em curso, seja para proteger o ato </w:t>
      </w:r>
      <w:r w:rsidRPr="003456BE">
        <w:rPr>
          <w:rFonts w:ascii="Times New Roman" w:hAnsi="Times New Roman" w:cs="Times New Roman"/>
          <w:b/>
          <w:color w:val="17365D" w:themeColor="text2" w:themeShade="BF"/>
          <w:highlight w:val="yellow"/>
        </w:rPr>
        <w:lastRenderedPageBreak/>
        <w:t>jurídico perfeito, os direitos ambientais adquiridos e a coisa julgada, seja para evitar a redução do patamar de proteção de ecossistemas frágeis sem as necessárias compensações ambientais.</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3456BE">
        <w:rPr>
          <w:rFonts w:ascii="Times New Roman" w:hAnsi="Times New Roman" w:cs="Times New Roman"/>
          <w:b/>
          <w:color w:val="17365D" w:themeColor="text2" w:themeShade="BF"/>
          <w:highlight w:val="yellow"/>
        </w:rPr>
        <w:t>5. Ademais, o art. 68 da Lei 12.651/2012 prevê a dispensa da recomposição, da compensação ou da regeneração, nos percentuais exigidos nesta Lei, nos casos em que a supressão de vegetação nativa tenha respeitado os percentuais de reserva legal previstos na legislação vigente à época dos fatos, o que não ocorreu na hipótese, uma vez a determinação do Tribunal de origem consistiu na apresentação de projeto de demarcação da área de reserva legal, com especificação de plantio, observadas as disposições do Decreto n.6514/08 e do Decreto n. 7029/09 (fl. 696, e-STJ). Rever o decidido pela Corte estadual encontra óbice na Súmula 7 do STJ.</w:t>
      </w:r>
    </w:p>
    <w:p w:rsidR="004D5275"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 xml:space="preserve">6. A jurisprudência do STJ é firme no sentido de que o art. 16, c/c o art. 44 da Lei 4.771/1965, impõe a averbação da reserva legal, independentemente de haver área florestal ou vegetação nativa na propriedade </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7. A Corte estadual consignou que a falta de reserva legal por si só acarreta degradação ambiental e asseverou que as provas produzidas seriam suficientes para a composição do conflito, sendo desnecessária a realização de perícia técnica. Nesse aspecto, não há como aferir eventual violação dos dispositivos infraconstitucionais invocados sem que se proceda ao reexame do conjunto probatório dos presentes autos (Súmula 7/STJ).</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8. Prejudicada a análise da divergência jurisprudencial apresentada, porquanto a negatória de seguimento do recurso pela alínea "a" do permissivo constitucional baseou-se em jurisprudência recente e consolidada desta Corte, aplicável ao caso dos autos. Ademais, não há similitude fática e jurídica apta a ensejar o conhecimento do recurso, em face do confronto da tese adotada no acórdão hostilizado e na apresentada nos arestos colacionados, uma vez que cada um deles, individualmente, traz uma das teses abarcadas no recurso especial e não todas ao mesmo tempo, o que lhe retira a identidade necessária ao conhecimento do recurso.</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Agravo regimental improvido.</w:t>
      </w:r>
    </w:p>
    <w:p w:rsidR="00867501" w:rsidRPr="00867501" w:rsidRDefault="00867501" w:rsidP="00285254">
      <w:pPr>
        <w:widowControl w:val="0"/>
        <w:spacing w:line="240" w:lineRule="auto"/>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w:t>
      </w:r>
      <w:proofErr w:type="spellStart"/>
      <w:r w:rsidRPr="00867501">
        <w:rPr>
          <w:rFonts w:ascii="Times New Roman" w:hAnsi="Times New Roman" w:cs="Times New Roman"/>
          <w:b/>
          <w:color w:val="17365D" w:themeColor="text2" w:themeShade="BF"/>
        </w:rPr>
        <w:t>AgRg</w:t>
      </w:r>
      <w:proofErr w:type="spellEnd"/>
      <w:r w:rsidRPr="00867501">
        <w:rPr>
          <w:rFonts w:ascii="Times New Roman" w:hAnsi="Times New Roman" w:cs="Times New Roman"/>
          <w:b/>
          <w:color w:val="17365D" w:themeColor="text2" w:themeShade="BF"/>
        </w:rPr>
        <w:t xml:space="preserve"> no </w:t>
      </w:r>
      <w:proofErr w:type="spellStart"/>
      <w:r w:rsidRPr="00867501">
        <w:rPr>
          <w:rFonts w:ascii="Times New Roman" w:hAnsi="Times New Roman" w:cs="Times New Roman"/>
          <w:b/>
          <w:color w:val="17365D" w:themeColor="text2" w:themeShade="BF"/>
        </w:rPr>
        <w:t>REsp</w:t>
      </w:r>
      <w:proofErr w:type="spellEnd"/>
      <w:r w:rsidRPr="00867501">
        <w:rPr>
          <w:rFonts w:ascii="Times New Roman" w:hAnsi="Times New Roman" w:cs="Times New Roman"/>
          <w:b/>
          <w:color w:val="17365D" w:themeColor="text2" w:themeShade="BF"/>
        </w:rPr>
        <w:t xml:space="preserve"> 1367968/SP, Rel. Ministro HUMBERTO MARTINS, SEGUNDA TURMA, julgado em 17/12/2013, </w:t>
      </w:r>
      <w:proofErr w:type="spellStart"/>
      <w:r w:rsidRPr="00867501">
        <w:rPr>
          <w:rFonts w:ascii="Times New Roman" w:hAnsi="Times New Roman" w:cs="Times New Roman"/>
          <w:b/>
          <w:color w:val="17365D" w:themeColor="text2" w:themeShade="BF"/>
        </w:rPr>
        <w:t>DJe</w:t>
      </w:r>
      <w:proofErr w:type="spellEnd"/>
      <w:r w:rsidRPr="00867501">
        <w:rPr>
          <w:rFonts w:ascii="Times New Roman" w:hAnsi="Times New Roman" w:cs="Times New Roman"/>
          <w:b/>
          <w:color w:val="17365D" w:themeColor="text2" w:themeShade="BF"/>
        </w:rPr>
        <w:t xml:space="preserve"> 12/03/2014)</w:t>
      </w:r>
    </w:p>
    <w:p w:rsidR="00867501" w:rsidRDefault="00867501" w:rsidP="00DE7D36">
      <w:pPr>
        <w:widowControl w:val="0"/>
        <w:rPr>
          <w:rFonts w:ascii="Times New Roman" w:hAnsi="Times New Roman" w:cs="Times New Roman"/>
          <w:sz w:val="26"/>
          <w:szCs w:val="26"/>
        </w:rPr>
      </w:pPr>
    </w:p>
    <w:p w:rsidR="00867501" w:rsidRPr="00867501" w:rsidRDefault="00867501" w:rsidP="00285254">
      <w:pPr>
        <w:widowControl w:val="0"/>
        <w:spacing w:line="240" w:lineRule="auto"/>
        <w:rPr>
          <w:rFonts w:ascii="Times New Roman" w:hAnsi="Times New Roman" w:cs="Times New Roman"/>
          <w:b/>
          <w:color w:val="943634" w:themeColor="accent2" w:themeShade="BF"/>
        </w:rPr>
      </w:pPr>
      <w:r w:rsidRPr="00867501">
        <w:rPr>
          <w:rFonts w:ascii="Times New Roman" w:hAnsi="Times New Roman" w:cs="Times New Roman"/>
          <w:b/>
          <w:color w:val="943634" w:themeColor="accent2" w:themeShade="BF"/>
        </w:rPr>
        <w:t>ADMINISTRATIVO. DESAPROPRIAÇÃO. RESERVA LEGAL. FALTA DE AVERBAÇÃO.</w:t>
      </w:r>
    </w:p>
    <w:p w:rsidR="00867501" w:rsidRPr="003456BE" w:rsidRDefault="00867501" w:rsidP="00285254">
      <w:pPr>
        <w:widowControl w:val="0"/>
        <w:spacing w:line="240" w:lineRule="auto"/>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A averbação da reserva legal no Ofício Imobiliário é indispensável à subtração da respectiva área no cálculo de produtividade do imóvel, nada importando exista ela de fato.</w:t>
      </w:r>
    </w:p>
    <w:p w:rsidR="00867501" w:rsidRPr="00867501" w:rsidRDefault="00867501" w:rsidP="00285254">
      <w:pPr>
        <w:widowControl w:val="0"/>
        <w:spacing w:line="240" w:lineRule="auto"/>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highlight w:val="yellow"/>
        </w:rPr>
        <w:t>Recurso especial conhecido, mas desprovido.</w:t>
      </w:r>
    </w:p>
    <w:p w:rsidR="00867501" w:rsidRPr="00867501" w:rsidRDefault="00867501" w:rsidP="00285254">
      <w:pPr>
        <w:widowControl w:val="0"/>
        <w:spacing w:line="240" w:lineRule="auto"/>
        <w:rPr>
          <w:rFonts w:ascii="Times New Roman" w:hAnsi="Times New Roman" w:cs="Times New Roman"/>
          <w:b/>
          <w:color w:val="943634" w:themeColor="accent2" w:themeShade="BF"/>
        </w:rPr>
      </w:pPr>
      <w:r w:rsidRPr="00867501">
        <w:rPr>
          <w:rFonts w:ascii="Times New Roman" w:hAnsi="Times New Roman" w:cs="Times New Roman"/>
          <w:b/>
          <w:color w:val="943634" w:themeColor="accent2" w:themeShade="BF"/>
        </w:rPr>
        <w:t>(</w:t>
      </w:r>
      <w:proofErr w:type="spellStart"/>
      <w:r w:rsidRPr="00867501">
        <w:rPr>
          <w:rFonts w:ascii="Times New Roman" w:hAnsi="Times New Roman" w:cs="Times New Roman"/>
          <w:b/>
          <w:color w:val="943634" w:themeColor="accent2" w:themeShade="BF"/>
        </w:rPr>
        <w:t>REsp</w:t>
      </w:r>
      <w:proofErr w:type="spellEnd"/>
      <w:r w:rsidRPr="00867501">
        <w:rPr>
          <w:rFonts w:ascii="Times New Roman" w:hAnsi="Times New Roman" w:cs="Times New Roman"/>
          <w:b/>
          <w:color w:val="943634" w:themeColor="accent2" w:themeShade="BF"/>
        </w:rPr>
        <w:t xml:space="preserve"> 1376203/GO, Rel. Ministro ARI PARGENDLER, PRIMEIRA TURMA, julgado em 01/10/2013, </w:t>
      </w:r>
      <w:proofErr w:type="spellStart"/>
      <w:r w:rsidRPr="00867501">
        <w:rPr>
          <w:rFonts w:ascii="Times New Roman" w:hAnsi="Times New Roman" w:cs="Times New Roman"/>
          <w:b/>
          <w:color w:val="943634" w:themeColor="accent2" w:themeShade="BF"/>
        </w:rPr>
        <w:t>DJe</w:t>
      </w:r>
      <w:proofErr w:type="spellEnd"/>
      <w:r w:rsidRPr="00867501">
        <w:rPr>
          <w:rFonts w:ascii="Times New Roman" w:hAnsi="Times New Roman" w:cs="Times New Roman"/>
          <w:b/>
          <w:color w:val="943634" w:themeColor="accent2" w:themeShade="BF"/>
        </w:rPr>
        <w:t xml:space="preserve"> 08/05/2014)</w:t>
      </w:r>
    </w:p>
    <w:p w:rsidR="00867501" w:rsidRPr="00867501" w:rsidRDefault="00867501" w:rsidP="00DE7D36">
      <w:pPr>
        <w:widowControl w:val="0"/>
        <w:rPr>
          <w:rFonts w:ascii="Times New Roman" w:hAnsi="Times New Roman" w:cs="Times New Roman"/>
          <w:b/>
          <w:color w:val="943634" w:themeColor="accent2" w:themeShade="BF"/>
        </w:rPr>
      </w:pPr>
    </w:p>
    <w:p w:rsidR="000F3A6D" w:rsidRPr="0064000D" w:rsidRDefault="000F3A6D" w:rsidP="00DE7D36">
      <w:pPr>
        <w:widowControl w:val="0"/>
        <w:ind w:left="360"/>
        <w:rPr>
          <w:rFonts w:ascii="Times New Roman" w:hAnsi="Times New Roman" w:cs="Times New Roman"/>
          <w:b/>
          <w:color w:val="FF0000"/>
          <w:sz w:val="26"/>
          <w:szCs w:val="26"/>
        </w:rPr>
      </w:pPr>
      <w:r w:rsidRPr="0064000D">
        <w:rPr>
          <w:rFonts w:ascii="Times New Roman" w:hAnsi="Times New Roman" w:cs="Times New Roman"/>
          <w:b/>
          <w:color w:val="FF0000"/>
          <w:sz w:val="26"/>
          <w:szCs w:val="26"/>
        </w:rPr>
        <w:t>A Legislação</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O Código Florestal atual;</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A Legislação Estadual e Municipal.</w:t>
      </w:r>
    </w:p>
    <w:p w:rsidR="000F3A6D" w:rsidRPr="000F3A6D" w:rsidRDefault="000F3A6D" w:rsidP="00DE7D36">
      <w:pPr>
        <w:pStyle w:val="PargrafodaLista"/>
        <w:widowControl w:val="0"/>
        <w:ind w:left="1440"/>
        <w:rPr>
          <w:rFonts w:ascii="Times New Roman" w:hAnsi="Times New Roman" w:cs="Times New Roman"/>
          <w:sz w:val="26"/>
          <w:szCs w:val="26"/>
        </w:rPr>
      </w:pPr>
    </w:p>
    <w:p w:rsidR="000F3A6D" w:rsidRPr="0064000D" w:rsidRDefault="000F3A6D" w:rsidP="00DE7D36">
      <w:pPr>
        <w:widowControl w:val="0"/>
        <w:ind w:left="360"/>
        <w:rPr>
          <w:rFonts w:ascii="Times New Roman" w:hAnsi="Times New Roman" w:cs="Times New Roman"/>
          <w:b/>
          <w:color w:val="FF0000"/>
          <w:sz w:val="26"/>
          <w:szCs w:val="26"/>
        </w:rPr>
      </w:pPr>
      <w:r w:rsidRPr="0064000D">
        <w:rPr>
          <w:rFonts w:ascii="Times New Roman" w:hAnsi="Times New Roman" w:cs="Times New Roman"/>
          <w:b/>
          <w:color w:val="FF0000"/>
          <w:sz w:val="26"/>
          <w:szCs w:val="26"/>
        </w:rPr>
        <w:t>A responsabilidade civil pelo dano ambiental</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Sujeitos passíveis de responsabilização;</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Conseqüências da responsabilização civil;</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lastRenderedPageBreak/>
        <w:t>Regras para a reparação;</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Compensações ambientais.</w:t>
      </w:r>
    </w:p>
    <w:p w:rsidR="006F4326" w:rsidRPr="00380AA9" w:rsidRDefault="006F4326" w:rsidP="006F4326">
      <w:pPr>
        <w:pStyle w:val="cabea"/>
        <w:jc w:val="center"/>
        <w:rPr>
          <w:rFonts w:ascii="Arial" w:hAnsi="Arial" w:cs="Arial"/>
          <w:color w:val="000000"/>
          <w:sz w:val="18"/>
          <w:szCs w:val="18"/>
        </w:rPr>
      </w:pPr>
      <w:r w:rsidRPr="00380AA9">
        <w:rPr>
          <w:rFonts w:ascii="Arial" w:hAnsi="Arial" w:cs="Arial"/>
          <w:b/>
          <w:bCs/>
          <w:color w:val="000000"/>
          <w:sz w:val="18"/>
          <w:szCs w:val="18"/>
        </w:rPr>
        <w:t>Seção III</w:t>
      </w:r>
    </w:p>
    <w:p w:rsidR="006F4326" w:rsidRPr="00380AA9" w:rsidRDefault="006F4326" w:rsidP="006F4326">
      <w:pPr>
        <w:pStyle w:val="cabea"/>
        <w:jc w:val="center"/>
        <w:rPr>
          <w:rFonts w:ascii="Arial" w:hAnsi="Arial" w:cs="Arial"/>
          <w:color w:val="000000"/>
          <w:sz w:val="18"/>
          <w:szCs w:val="18"/>
        </w:rPr>
      </w:pPr>
      <w:r w:rsidRPr="00380AA9">
        <w:rPr>
          <w:rFonts w:ascii="Arial" w:hAnsi="Arial" w:cs="Arial"/>
          <w:b/>
          <w:bCs/>
          <w:color w:val="000000"/>
          <w:sz w:val="18"/>
          <w:szCs w:val="18"/>
        </w:rPr>
        <w:t>Das Áreas Consolidadas em Áreas de Reserva Legal </w:t>
      </w:r>
    </w:p>
    <w:p w:rsidR="006F4326" w:rsidRPr="00380AA9" w:rsidRDefault="006F4326" w:rsidP="006F4326">
      <w:pPr>
        <w:pStyle w:val="texto1"/>
        <w:ind w:firstLine="570"/>
        <w:jc w:val="both"/>
        <w:rPr>
          <w:rFonts w:ascii="Arial" w:hAnsi="Arial" w:cs="Arial"/>
          <w:color w:val="000000"/>
          <w:sz w:val="18"/>
          <w:szCs w:val="18"/>
        </w:rPr>
      </w:pPr>
      <w:bookmarkStart w:id="26" w:name="art66"/>
      <w:bookmarkEnd w:id="26"/>
      <w:r w:rsidRPr="00380AA9">
        <w:rPr>
          <w:rFonts w:ascii="Arial" w:hAnsi="Arial" w:cs="Arial"/>
          <w:color w:val="000000"/>
          <w:sz w:val="18"/>
          <w:szCs w:val="18"/>
        </w:rPr>
        <w:t>Art. 66.  O proprietário ou possuidor de imóvel rural que detinha, em 22 de julho de 2008, área de Reserva Legal em extensão inferior ao estabelecido no art. 12, poderá regularizar sua situação, independentemente da adesão ao PRA, adotando as seguintes alternativas, isolada ou conjuntamente: </w:t>
      </w:r>
    </w:p>
    <w:p w:rsidR="006F4326" w:rsidRPr="00380AA9" w:rsidRDefault="006F4326" w:rsidP="006F4326">
      <w:pPr>
        <w:pStyle w:val="texto1"/>
        <w:ind w:firstLine="570"/>
        <w:jc w:val="both"/>
        <w:rPr>
          <w:rFonts w:ascii="Arial" w:hAnsi="Arial" w:cs="Arial"/>
          <w:color w:val="000000"/>
          <w:sz w:val="18"/>
          <w:szCs w:val="18"/>
        </w:rPr>
      </w:pPr>
      <w:bookmarkStart w:id="27" w:name="art66i"/>
      <w:bookmarkEnd w:id="27"/>
      <w:r w:rsidRPr="00380AA9">
        <w:rPr>
          <w:rFonts w:ascii="Arial" w:hAnsi="Arial" w:cs="Arial"/>
          <w:color w:val="000000"/>
          <w:sz w:val="18"/>
          <w:szCs w:val="18"/>
        </w:rPr>
        <w:t xml:space="preserve">I - </w:t>
      </w:r>
      <w:proofErr w:type="gramStart"/>
      <w:r w:rsidRPr="00380AA9">
        <w:rPr>
          <w:rFonts w:ascii="Arial" w:hAnsi="Arial" w:cs="Arial"/>
          <w:color w:val="000000"/>
          <w:sz w:val="18"/>
          <w:szCs w:val="18"/>
        </w:rPr>
        <w:t>recompor</w:t>
      </w:r>
      <w:proofErr w:type="gramEnd"/>
      <w:r w:rsidRPr="00380AA9">
        <w:rPr>
          <w:rFonts w:ascii="Arial" w:hAnsi="Arial" w:cs="Arial"/>
          <w:color w:val="000000"/>
          <w:sz w:val="18"/>
          <w:szCs w:val="18"/>
        </w:rPr>
        <w:t xml:space="preserve"> a Reserva Legal; </w:t>
      </w:r>
    </w:p>
    <w:p w:rsidR="006F4326" w:rsidRPr="00380AA9" w:rsidRDefault="006F4326" w:rsidP="006F4326">
      <w:pPr>
        <w:pStyle w:val="texto1"/>
        <w:ind w:firstLine="570"/>
        <w:jc w:val="both"/>
        <w:rPr>
          <w:rFonts w:ascii="Arial" w:hAnsi="Arial" w:cs="Arial"/>
          <w:color w:val="000000"/>
          <w:sz w:val="18"/>
          <w:szCs w:val="18"/>
        </w:rPr>
      </w:pPr>
      <w:bookmarkStart w:id="28" w:name="art66ii"/>
      <w:bookmarkEnd w:id="28"/>
      <w:r w:rsidRPr="00380AA9">
        <w:rPr>
          <w:rFonts w:ascii="Arial" w:hAnsi="Arial" w:cs="Arial"/>
          <w:color w:val="000000"/>
          <w:sz w:val="18"/>
          <w:szCs w:val="18"/>
        </w:rPr>
        <w:t xml:space="preserve">II - </w:t>
      </w:r>
      <w:proofErr w:type="gramStart"/>
      <w:r w:rsidRPr="00380AA9">
        <w:rPr>
          <w:rFonts w:ascii="Arial" w:hAnsi="Arial" w:cs="Arial"/>
          <w:color w:val="000000"/>
          <w:sz w:val="18"/>
          <w:szCs w:val="18"/>
        </w:rPr>
        <w:t>permitir</w:t>
      </w:r>
      <w:proofErr w:type="gramEnd"/>
      <w:r w:rsidRPr="00380AA9">
        <w:rPr>
          <w:rFonts w:ascii="Arial" w:hAnsi="Arial" w:cs="Arial"/>
          <w:color w:val="000000"/>
          <w:sz w:val="18"/>
          <w:szCs w:val="18"/>
        </w:rPr>
        <w:t xml:space="preserve"> a regeneração natural da vegetação na área de Reserva Legal; </w:t>
      </w:r>
    </w:p>
    <w:p w:rsidR="006F4326" w:rsidRPr="00380AA9" w:rsidRDefault="006F4326" w:rsidP="006F4326">
      <w:pPr>
        <w:pStyle w:val="texto1"/>
        <w:ind w:firstLine="570"/>
        <w:jc w:val="both"/>
        <w:rPr>
          <w:rFonts w:ascii="Arial" w:hAnsi="Arial" w:cs="Arial"/>
          <w:color w:val="000000"/>
          <w:sz w:val="18"/>
          <w:szCs w:val="18"/>
        </w:rPr>
      </w:pPr>
      <w:bookmarkStart w:id="29" w:name="art66iii"/>
      <w:bookmarkEnd w:id="29"/>
      <w:r w:rsidRPr="00380AA9">
        <w:rPr>
          <w:rFonts w:ascii="Arial" w:hAnsi="Arial" w:cs="Arial"/>
          <w:color w:val="000000"/>
          <w:sz w:val="18"/>
          <w:szCs w:val="18"/>
        </w:rPr>
        <w:t>III - compensar a Reserva Legal. </w:t>
      </w:r>
    </w:p>
    <w:p w:rsidR="006F4326" w:rsidRPr="00380AA9" w:rsidRDefault="006F4326" w:rsidP="006F4326">
      <w:pPr>
        <w:pStyle w:val="texto1"/>
        <w:ind w:firstLine="570"/>
        <w:jc w:val="both"/>
        <w:rPr>
          <w:rFonts w:ascii="Arial" w:hAnsi="Arial" w:cs="Arial"/>
          <w:color w:val="000000"/>
          <w:sz w:val="18"/>
          <w:szCs w:val="18"/>
        </w:rPr>
      </w:pPr>
      <w:bookmarkStart w:id="30" w:name="art66§1"/>
      <w:bookmarkEnd w:id="30"/>
      <w:r w:rsidRPr="00380AA9">
        <w:rPr>
          <w:rFonts w:ascii="Arial" w:hAnsi="Arial" w:cs="Arial"/>
          <w:color w:val="000000"/>
          <w:sz w:val="18"/>
          <w:szCs w:val="18"/>
        </w:rPr>
        <w:t>§ 1</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w:t>
      </w:r>
      <w:proofErr w:type="gramEnd"/>
      <w:r w:rsidRPr="00380AA9">
        <w:rPr>
          <w:rFonts w:ascii="Arial" w:hAnsi="Arial" w:cs="Arial"/>
          <w:color w:val="000000"/>
          <w:sz w:val="18"/>
          <w:szCs w:val="18"/>
        </w:rPr>
        <w:t xml:space="preserve"> obrigação prevista no caput</w:t>
      </w:r>
      <w:r w:rsidRPr="00380AA9">
        <w:rPr>
          <w:rFonts w:ascii="Arial" w:hAnsi="Arial" w:cs="Arial"/>
          <w:i/>
          <w:iCs/>
          <w:color w:val="000000"/>
          <w:sz w:val="18"/>
          <w:szCs w:val="18"/>
        </w:rPr>
        <w:t> </w:t>
      </w:r>
      <w:r w:rsidRPr="00380AA9">
        <w:rPr>
          <w:rFonts w:ascii="Arial" w:hAnsi="Arial" w:cs="Arial"/>
          <w:color w:val="000000"/>
          <w:sz w:val="18"/>
          <w:szCs w:val="18"/>
        </w:rPr>
        <w:t>tem natureza real e é transmitida ao sucessor no caso de transferência de domínio ou posse do imóvel rural. </w:t>
      </w:r>
    </w:p>
    <w:p w:rsidR="006F4326" w:rsidRPr="00380AA9" w:rsidRDefault="006F4326" w:rsidP="006F4326">
      <w:pPr>
        <w:pStyle w:val="texto1"/>
        <w:ind w:firstLine="570"/>
        <w:jc w:val="both"/>
        <w:rPr>
          <w:rFonts w:ascii="Arial" w:hAnsi="Arial" w:cs="Arial"/>
          <w:color w:val="000000"/>
          <w:sz w:val="18"/>
          <w:szCs w:val="18"/>
        </w:rPr>
      </w:pPr>
      <w:bookmarkStart w:id="31" w:name="art66§2"/>
      <w:bookmarkEnd w:id="31"/>
      <w:r w:rsidRPr="00380AA9">
        <w:rPr>
          <w:rFonts w:ascii="Arial" w:hAnsi="Arial" w:cs="Arial"/>
          <w:color w:val="000000"/>
          <w:sz w:val="18"/>
          <w:szCs w:val="18"/>
        </w:rPr>
        <w:t>§ 2</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w:t>
      </w:r>
      <w:proofErr w:type="gramEnd"/>
      <w:r w:rsidRPr="00380AA9">
        <w:rPr>
          <w:rFonts w:ascii="Arial" w:hAnsi="Arial" w:cs="Arial"/>
          <w:color w:val="000000"/>
          <w:sz w:val="18"/>
          <w:szCs w:val="18"/>
        </w:rPr>
        <w:t xml:space="preserve"> recomposição de que trata o inciso I do caput</w:t>
      </w:r>
      <w:r w:rsidRPr="00380AA9">
        <w:rPr>
          <w:rFonts w:ascii="Arial" w:hAnsi="Arial" w:cs="Arial"/>
          <w:i/>
          <w:iCs/>
          <w:color w:val="000000"/>
          <w:sz w:val="18"/>
          <w:szCs w:val="18"/>
        </w:rPr>
        <w:t> </w:t>
      </w:r>
      <w:r w:rsidRPr="00380AA9">
        <w:rPr>
          <w:rFonts w:ascii="Arial" w:hAnsi="Arial" w:cs="Arial"/>
          <w:color w:val="000000"/>
          <w:sz w:val="18"/>
          <w:szCs w:val="18"/>
        </w:rPr>
        <w:t xml:space="preserve">deverá atender os critérios estipulados pelo órgão competente do </w:t>
      </w:r>
      <w:proofErr w:type="spellStart"/>
      <w:r w:rsidRPr="00380AA9">
        <w:rPr>
          <w:rFonts w:ascii="Arial" w:hAnsi="Arial" w:cs="Arial"/>
          <w:color w:val="000000"/>
          <w:sz w:val="18"/>
          <w:szCs w:val="18"/>
        </w:rPr>
        <w:t>Sisnama</w:t>
      </w:r>
      <w:proofErr w:type="spellEnd"/>
      <w:r w:rsidRPr="00380AA9">
        <w:rPr>
          <w:rFonts w:ascii="Arial" w:hAnsi="Arial" w:cs="Arial"/>
          <w:color w:val="000000"/>
          <w:sz w:val="18"/>
          <w:szCs w:val="18"/>
        </w:rPr>
        <w:t xml:space="preserve"> e ser concluída em até 20 (vinte) anos, abrangendo, a cada 2 (dois) anos, no mínimo 1/10 (um décimo) da área total necessária à sua complementação. </w:t>
      </w:r>
    </w:p>
    <w:p w:rsidR="006F4326" w:rsidRPr="00380AA9" w:rsidRDefault="006F4326" w:rsidP="006F4326">
      <w:pPr>
        <w:pStyle w:val="texto1"/>
        <w:ind w:firstLine="570"/>
        <w:jc w:val="both"/>
        <w:rPr>
          <w:rFonts w:ascii="Arial" w:hAnsi="Arial" w:cs="Arial"/>
          <w:color w:val="000000"/>
          <w:sz w:val="18"/>
          <w:szCs w:val="18"/>
        </w:rPr>
      </w:pPr>
      <w:bookmarkStart w:id="32" w:name="art66§3."/>
      <w:bookmarkEnd w:id="32"/>
      <w:r w:rsidRPr="00380AA9">
        <w:rPr>
          <w:rFonts w:ascii="Arial" w:hAnsi="Arial" w:cs="Arial"/>
          <w:strike/>
          <w:color w:val="000000"/>
          <w:sz w:val="18"/>
          <w:szCs w:val="18"/>
        </w:rPr>
        <w:t>§ 3</w:t>
      </w:r>
      <w:proofErr w:type="gramStart"/>
      <w:r w:rsidRPr="00380AA9">
        <w:rPr>
          <w:rFonts w:ascii="Arial" w:hAnsi="Arial" w:cs="Arial"/>
          <w:strike/>
          <w:color w:val="000000"/>
          <w:sz w:val="18"/>
          <w:szCs w:val="18"/>
          <w:u w:val="single"/>
          <w:vertAlign w:val="superscript"/>
        </w:rPr>
        <w:t>o</w:t>
      </w:r>
      <w:r w:rsidRPr="00380AA9">
        <w:rPr>
          <w:rFonts w:ascii="Arial" w:hAnsi="Arial" w:cs="Arial"/>
          <w:strike/>
          <w:color w:val="000000"/>
          <w:sz w:val="18"/>
          <w:szCs w:val="18"/>
        </w:rPr>
        <w:t>  A</w:t>
      </w:r>
      <w:proofErr w:type="gramEnd"/>
      <w:r w:rsidRPr="00380AA9">
        <w:rPr>
          <w:rFonts w:ascii="Arial" w:hAnsi="Arial" w:cs="Arial"/>
          <w:strike/>
          <w:color w:val="000000"/>
          <w:sz w:val="18"/>
          <w:szCs w:val="18"/>
        </w:rPr>
        <w:t xml:space="preserve"> recomposição de que trata o inciso I do caput</w:t>
      </w:r>
      <w:r w:rsidRPr="00380AA9">
        <w:rPr>
          <w:rFonts w:ascii="Arial" w:hAnsi="Arial" w:cs="Arial"/>
          <w:i/>
          <w:iCs/>
          <w:strike/>
          <w:color w:val="000000"/>
          <w:sz w:val="18"/>
          <w:szCs w:val="18"/>
        </w:rPr>
        <w:t> </w:t>
      </w:r>
      <w:r w:rsidRPr="00380AA9">
        <w:rPr>
          <w:rFonts w:ascii="Arial" w:hAnsi="Arial" w:cs="Arial"/>
          <w:strike/>
          <w:color w:val="000000"/>
          <w:sz w:val="18"/>
          <w:szCs w:val="18"/>
        </w:rPr>
        <w:t>poderá ser realizada mediante o plantio intercalado de espécies nativas e exóticas, em sistema agroflorestal, observados os seguintes parâmetros: </w:t>
      </w:r>
    </w:p>
    <w:p w:rsidR="006F4326" w:rsidRPr="00380AA9" w:rsidRDefault="006F4326" w:rsidP="006F4326">
      <w:pPr>
        <w:pStyle w:val="texto1"/>
        <w:ind w:firstLine="570"/>
        <w:jc w:val="both"/>
        <w:rPr>
          <w:rFonts w:ascii="Arial" w:hAnsi="Arial" w:cs="Arial"/>
          <w:color w:val="000000"/>
          <w:sz w:val="18"/>
          <w:szCs w:val="18"/>
        </w:rPr>
      </w:pPr>
      <w:bookmarkStart w:id="33" w:name="art66§3"/>
      <w:bookmarkEnd w:id="33"/>
      <w:r w:rsidRPr="00380AA9">
        <w:rPr>
          <w:rFonts w:ascii="Arial" w:hAnsi="Arial" w:cs="Arial"/>
          <w:color w:val="000000"/>
          <w:sz w:val="18"/>
          <w:szCs w:val="18"/>
        </w:rPr>
        <w:t>§ 3</w:t>
      </w:r>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 recomposição de que trata o inciso I do caput poderá ser realizada mediante o plantio intercalado de espécies nativas com exóticas ou frutíferas, em sistema agroflorestal, observados os seguintes parâmetros:                </w:t>
      </w:r>
      <w:hyperlink r:id="rId48" w:history="1">
        <w:r w:rsidRPr="00380AA9">
          <w:rPr>
            <w:rStyle w:val="Hyperlink"/>
            <w:rFonts w:ascii="Arial" w:hAnsi="Arial" w:cs="Arial"/>
            <w:sz w:val="18"/>
            <w:szCs w:val="18"/>
          </w:rPr>
          <w:t>(Incluído pela Lei nº 12.727, de 2012).</w:t>
        </w:r>
      </w:hyperlink>
      <w:r w:rsidRPr="00380AA9">
        <w:rPr>
          <w:rFonts w:ascii="Arial" w:hAnsi="Arial" w:cs="Arial"/>
          <w:color w:val="000000"/>
          <w:sz w:val="18"/>
          <w:szCs w:val="18"/>
        </w:rPr>
        <w:t>              </w:t>
      </w:r>
      <w:hyperlink r:id="rId49" w:history="1">
        <w:r w:rsidRPr="00380AA9">
          <w:rPr>
            <w:rStyle w:val="Hyperlink"/>
            <w:rFonts w:ascii="Arial" w:hAnsi="Arial" w:cs="Arial"/>
            <w:sz w:val="18"/>
            <w:szCs w:val="18"/>
          </w:rPr>
          <w:t>(Vide ADC Nº 42)</w:t>
        </w:r>
      </w:hyperlink>
      <w:r w:rsidRPr="00380AA9">
        <w:rPr>
          <w:rFonts w:ascii="Arial" w:hAnsi="Arial" w:cs="Arial"/>
          <w:color w:val="000000"/>
          <w:sz w:val="18"/>
          <w:szCs w:val="18"/>
        </w:rPr>
        <w:t>                  </w:t>
      </w:r>
      <w:hyperlink r:id="rId50" w:history="1">
        <w:r w:rsidRPr="00380AA9">
          <w:rPr>
            <w:rStyle w:val="Hyperlink"/>
            <w:rFonts w:ascii="Arial" w:hAnsi="Arial" w:cs="Arial"/>
            <w:sz w:val="18"/>
            <w:szCs w:val="18"/>
          </w:rPr>
          <w:t>(Vide ADIN Nº 4.901)</w:t>
        </w:r>
      </w:hyperlink>
    </w:p>
    <w:p w:rsidR="006F4326" w:rsidRPr="00380AA9" w:rsidRDefault="006F4326" w:rsidP="006F4326">
      <w:pPr>
        <w:pStyle w:val="texto1"/>
        <w:ind w:firstLine="570"/>
        <w:jc w:val="both"/>
        <w:rPr>
          <w:rFonts w:ascii="Arial" w:hAnsi="Arial" w:cs="Arial"/>
          <w:color w:val="000000"/>
          <w:sz w:val="18"/>
          <w:szCs w:val="18"/>
        </w:rPr>
      </w:pPr>
      <w:bookmarkStart w:id="34" w:name="art66§3i"/>
      <w:bookmarkEnd w:id="34"/>
      <w:r w:rsidRPr="00380AA9">
        <w:rPr>
          <w:rFonts w:ascii="Arial" w:hAnsi="Arial" w:cs="Arial"/>
          <w:color w:val="000000"/>
          <w:sz w:val="18"/>
          <w:szCs w:val="18"/>
        </w:rPr>
        <w:t xml:space="preserve">I - </w:t>
      </w:r>
      <w:proofErr w:type="gramStart"/>
      <w:r w:rsidRPr="00380AA9">
        <w:rPr>
          <w:rFonts w:ascii="Arial" w:hAnsi="Arial" w:cs="Arial"/>
          <w:color w:val="000000"/>
          <w:sz w:val="18"/>
          <w:szCs w:val="18"/>
        </w:rPr>
        <w:t>o</w:t>
      </w:r>
      <w:proofErr w:type="gramEnd"/>
      <w:r w:rsidRPr="00380AA9">
        <w:rPr>
          <w:rFonts w:ascii="Arial" w:hAnsi="Arial" w:cs="Arial"/>
          <w:color w:val="000000"/>
          <w:sz w:val="18"/>
          <w:szCs w:val="18"/>
        </w:rPr>
        <w:t xml:space="preserve"> plantio de espécies exóticas deverá ser combinado com as espécies nativas de ocorrência regional; </w:t>
      </w:r>
    </w:p>
    <w:p w:rsidR="006F4326" w:rsidRPr="00380AA9" w:rsidRDefault="006F4326" w:rsidP="006F4326">
      <w:pPr>
        <w:pStyle w:val="texto1"/>
        <w:ind w:firstLine="570"/>
        <w:jc w:val="both"/>
        <w:rPr>
          <w:rFonts w:ascii="Arial" w:hAnsi="Arial" w:cs="Arial"/>
          <w:color w:val="000000"/>
          <w:sz w:val="18"/>
          <w:szCs w:val="18"/>
        </w:rPr>
      </w:pPr>
      <w:bookmarkStart w:id="35" w:name="art66§3ii"/>
      <w:bookmarkEnd w:id="35"/>
      <w:r w:rsidRPr="00380AA9">
        <w:rPr>
          <w:rFonts w:ascii="Arial" w:hAnsi="Arial" w:cs="Arial"/>
          <w:color w:val="000000"/>
          <w:sz w:val="18"/>
          <w:szCs w:val="18"/>
        </w:rPr>
        <w:t xml:space="preserve">II - </w:t>
      </w:r>
      <w:proofErr w:type="gramStart"/>
      <w:r w:rsidRPr="00380AA9">
        <w:rPr>
          <w:rFonts w:ascii="Arial" w:hAnsi="Arial" w:cs="Arial"/>
          <w:color w:val="000000"/>
          <w:sz w:val="18"/>
          <w:szCs w:val="18"/>
        </w:rPr>
        <w:t>a</w:t>
      </w:r>
      <w:proofErr w:type="gramEnd"/>
      <w:r w:rsidRPr="00380AA9">
        <w:rPr>
          <w:rFonts w:ascii="Arial" w:hAnsi="Arial" w:cs="Arial"/>
          <w:color w:val="000000"/>
          <w:sz w:val="18"/>
          <w:szCs w:val="18"/>
        </w:rPr>
        <w:t xml:space="preserve"> área recomposta com espécies exóticas não poderá exceder a 50% (cinquenta por cento) da área total a ser recuperada. </w:t>
      </w:r>
    </w:p>
    <w:p w:rsidR="006F4326" w:rsidRPr="00380AA9" w:rsidRDefault="006F4326" w:rsidP="006F4326">
      <w:pPr>
        <w:pStyle w:val="texto1"/>
        <w:ind w:firstLine="570"/>
        <w:jc w:val="both"/>
        <w:rPr>
          <w:rFonts w:ascii="Arial" w:hAnsi="Arial" w:cs="Arial"/>
          <w:color w:val="000000"/>
          <w:sz w:val="18"/>
          <w:szCs w:val="18"/>
        </w:rPr>
      </w:pPr>
      <w:bookmarkStart w:id="36" w:name="art66§4"/>
      <w:bookmarkEnd w:id="36"/>
      <w:r w:rsidRPr="00380AA9">
        <w:rPr>
          <w:rFonts w:ascii="Arial" w:hAnsi="Arial" w:cs="Arial"/>
          <w:color w:val="000000"/>
          <w:sz w:val="18"/>
          <w:szCs w:val="18"/>
        </w:rPr>
        <w:t>§ 4</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Os</w:t>
      </w:r>
      <w:proofErr w:type="gramEnd"/>
      <w:r w:rsidRPr="00380AA9">
        <w:rPr>
          <w:rFonts w:ascii="Arial" w:hAnsi="Arial" w:cs="Arial"/>
          <w:color w:val="000000"/>
          <w:sz w:val="18"/>
          <w:szCs w:val="18"/>
        </w:rPr>
        <w:t xml:space="preserve"> proprietários ou possuidores do imóvel que optarem por recompor a Reserva Legal na forma dos §§ 2</w:t>
      </w:r>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e 3</w:t>
      </w:r>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terão direito à sua exploração econômica, nos termos desta Lei. </w:t>
      </w:r>
    </w:p>
    <w:p w:rsidR="006F4326" w:rsidRPr="00380AA9" w:rsidRDefault="006F4326" w:rsidP="006F4326">
      <w:pPr>
        <w:pStyle w:val="texto1"/>
        <w:ind w:firstLine="570"/>
        <w:jc w:val="both"/>
        <w:rPr>
          <w:rFonts w:ascii="Arial" w:hAnsi="Arial" w:cs="Arial"/>
          <w:color w:val="000000"/>
          <w:sz w:val="18"/>
          <w:szCs w:val="18"/>
        </w:rPr>
      </w:pPr>
      <w:bookmarkStart w:id="37" w:name="art66§5"/>
      <w:bookmarkEnd w:id="37"/>
      <w:r w:rsidRPr="00380AA9">
        <w:rPr>
          <w:rFonts w:ascii="Arial" w:hAnsi="Arial" w:cs="Arial"/>
          <w:color w:val="000000"/>
          <w:sz w:val="18"/>
          <w:szCs w:val="18"/>
        </w:rPr>
        <w:t>§ 5</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w:t>
      </w:r>
      <w:proofErr w:type="gramEnd"/>
      <w:r w:rsidRPr="00380AA9">
        <w:rPr>
          <w:rFonts w:ascii="Arial" w:hAnsi="Arial" w:cs="Arial"/>
          <w:color w:val="000000"/>
          <w:sz w:val="18"/>
          <w:szCs w:val="18"/>
        </w:rPr>
        <w:t xml:space="preserve"> compensação de que trata o inciso III do caput</w:t>
      </w:r>
      <w:r w:rsidRPr="00380AA9">
        <w:rPr>
          <w:rFonts w:ascii="Arial" w:hAnsi="Arial" w:cs="Arial"/>
          <w:i/>
          <w:iCs/>
          <w:color w:val="000000"/>
          <w:sz w:val="18"/>
          <w:szCs w:val="18"/>
        </w:rPr>
        <w:t> </w:t>
      </w:r>
      <w:r w:rsidRPr="00380AA9">
        <w:rPr>
          <w:rFonts w:ascii="Arial" w:hAnsi="Arial" w:cs="Arial"/>
          <w:color w:val="000000"/>
          <w:sz w:val="18"/>
          <w:szCs w:val="18"/>
        </w:rPr>
        <w:t>deverá ser precedida pela inscrição da propriedade no CAR e poderá ser feita mediante:              </w:t>
      </w:r>
      <w:hyperlink r:id="rId51" w:history="1">
        <w:r w:rsidRPr="00380AA9">
          <w:rPr>
            <w:rStyle w:val="Hyperlink"/>
            <w:rFonts w:ascii="Arial" w:hAnsi="Arial" w:cs="Arial"/>
            <w:sz w:val="18"/>
            <w:szCs w:val="18"/>
          </w:rPr>
          <w:t>(Vide ADC Nº 42)</w:t>
        </w:r>
      </w:hyperlink>
      <w:r w:rsidRPr="00380AA9">
        <w:rPr>
          <w:rFonts w:ascii="Arial" w:hAnsi="Arial" w:cs="Arial"/>
          <w:color w:val="000000"/>
          <w:sz w:val="18"/>
          <w:szCs w:val="18"/>
        </w:rPr>
        <w:t>                   </w:t>
      </w:r>
      <w:hyperlink r:id="rId52" w:history="1">
        <w:r w:rsidRPr="00380AA9">
          <w:rPr>
            <w:rStyle w:val="Hyperlink"/>
            <w:rFonts w:ascii="Arial" w:hAnsi="Arial" w:cs="Arial"/>
            <w:sz w:val="18"/>
            <w:szCs w:val="18"/>
          </w:rPr>
          <w:t>(Vide ADIN Nº 4.901)</w:t>
        </w:r>
      </w:hyperlink>
    </w:p>
    <w:p w:rsidR="006F4326" w:rsidRPr="00380AA9" w:rsidRDefault="006F4326" w:rsidP="006F4326">
      <w:pPr>
        <w:pStyle w:val="texto1"/>
        <w:ind w:firstLine="570"/>
        <w:jc w:val="both"/>
        <w:rPr>
          <w:rFonts w:ascii="Arial" w:hAnsi="Arial" w:cs="Arial"/>
          <w:color w:val="000000"/>
          <w:sz w:val="18"/>
          <w:szCs w:val="18"/>
        </w:rPr>
      </w:pPr>
      <w:bookmarkStart w:id="38" w:name="art66§5i"/>
      <w:bookmarkEnd w:id="38"/>
      <w:r w:rsidRPr="00380AA9">
        <w:rPr>
          <w:rFonts w:ascii="Arial" w:hAnsi="Arial" w:cs="Arial"/>
          <w:color w:val="000000"/>
          <w:sz w:val="18"/>
          <w:szCs w:val="18"/>
        </w:rPr>
        <w:t xml:space="preserve">I - </w:t>
      </w:r>
      <w:proofErr w:type="gramStart"/>
      <w:r w:rsidRPr="00380AA9">
        <w:rPr>
          <w:rFonts w:ascii="Arial" w:hAnsi="Arial" w:cs="Arial"/>
          <w:color w:val="000000"/>
          <w:sz w:val="18"/>
          <w:szCs w:val="18"/>
        </w:rPr>
        <w:t>aquisição</w:t>
      </w:r>
      <w:proofErr w:type="gramEnd"/>
      <w:r w:rsidRPr="00380AA9">
        <w:rPr>
          <w:rFonts w:ascii="Arial" w:hAnsi="Arial" w:cs="Arial"/>
          <w:color w:val="000000"/>
          <w:sz w:val="18"/>
          <w:szCs w:val="18"/>
        </w:rPr>
        <w:t xml:space="preserve"> de Cota de Reserva Ambiental - CRA; </w:t>
      </w:r>
    </w:p>
    <w:p w:rsidR="006F4326" w:rsidRPr="00380AA9" w:rsidRDefault="006F4326" w:rsidP="006F4326">
      <w:pPr>
        <w:pStyle w:val="texto1"/>
        <w:ind w:firstLine="570"/>
        <w:jc w:val="both"/>
        <w:rPr>
          <w:rFonts w:ascii="Arial" w:hAnsi="Arial" w:cs="Arial"/>
          <w:color w:val="000000"/>
          <w:sz w:val="18"/>
          <w:szCs w:val="18"/>
        </w:rPr>
      </w:pPr>
      <w:bookmarkStart w:id="39" w:name="art66§5ii"/>
      <w:bookmarkEnd w:id="39"/>
      <w:r w:rsidRPr="00380AA9">
        <w:rPr>
          <w:rFonts w:ascii="Arial" w:hAnsi="Arial" w:cs="Arial"/>
          <w:color w:val="000000"/>
          <w:sz w:val="18"/>
          <w:szCs w:val="18"/>
        </w:rPr>
        <w:t xml:space="preserve">II - </w:t>
      </w:r>
      <w:proofErr w:type="gramStart"/>
      <w:r w:rsidRPr="00380AA9">
        <w:rPr>
          <w:rFonts w:ascii="Arial" w:hAnsi="Arial" w:cs="Arial"/>
          <w:color w:val="000000"/>
          <w:sz w:val="18"/>
          <w:szCs w:val="18"/>
        </w:rPr>
        <w:t>arrendamento</w:t>
      </w:r>
      <w:proofErr w:type="gramEnd"/>
      <w:r w:rsidRPr="00380AA9">
        <w:rPr>
          <w:rFonts w:ascii="Arial" w:hAnsi="Arial" w:cs="Arial"/>
          <w:color w:val="000000"/>
          <w:sz w:val="18"/>
          <w:szCs w:val="18"/>
        </w:rPr>
        <w:t xml:space="preserve"> de área sob regime de servidão ambiental ou Reserva Legal; </w:t>
      </w:r>
    </w:p>
    <w:p w:rsidR="006F4326" w:rsidRPr="00380AA9" w:rsidRDefault="006F4326" w:rsidP="006F4326">
      <w:pPr>
        <w:pStyle w:val="texto1"/>
        <w:ind w:firstLine="570"/>
        <w:jc w:val="both"/>
        <w:rPr>
          <w:rFonts w:ascii="Arial" w:hAnsi="Arial" w:cs="Arial"/>
          <w:color w:val="000000"/>
          <w:sz w:val="18"/>
          <w:szCs w:val="18"/>
        </w:rPr>
      </w:pPr>
      <w:bookmarkStart w:id="40" w:name="art66§5iii"/>
      <w:bookmarkEnd w:id="40"/>
      <w:r w:rsidRPr="00380AA9">
        <w:rPr>
          <w:rFonts w:ascii="Arial" w:hAnsi="Arial" w:cs="Arial"/>
          <w:color w:val="000000"/>
          <w:sz w:val="18"/>
          <w:szCs w:val="18"/>
        </w:rPr>
        <w:t>III - doação ao poder público de área localizada no interior de Unidade de Conservação de domínio público pendente de regularização fundiária; </w:t>
      </w:r>
    </w:p>
    <w:p w:rsidR="006F4326" w:rsidRPr="00380AA9" w:rsidRDefault="006F4326" w:rsidP="006F4326">
      <w:pPr>
        <w:pStyle w:val="texto1"/>
        <w:ind w:firstLine="570"/>
        <w:jc w:val="both"/>
        <w:rPr>
          <w:rFonts w:ascii="Arial" w:hAnsi="Arial" w:cs="Arial"/>
          <w:color w:val="000000"/>
          <w:sz w:val="18"/>
          <w:szCs w:val="18"/>
        </w:rPr>
      </w:pPr>
      <w:bookmarkStart w:id="41" w:name="art66§5iv"/>
      <w:bookmarkEnd w:id="41"/>
      <w:r w:rsidRPr="00380AA9">
        <w:rPr>
          <w:rFonts w:ascii="Arial" w:hAnsi="Arial" w:cs="Arial"/>
          <w:color w:val="000000"/>
          <w:sz w:val="18"/>
          <w:szCs w:val="18"/>
        </w:rPr>
        <w:t xml:space="preserve">IV - </w:t>
      </w:r>
      <w:proofErr w:type="gramStart"/>
      <w:r w:rsidRPr="00380AA9">
        <w:rPr>
          <w:rFonts w:ascii="Arial" w:hAnsi="Arial" w:cs="Arial"/>
          <w:color w:val="000000"/>
          <w:sz w:val="18"/>
          <w:szCs w:val="18"/>
        </w:rPr>
        <w:t>cadastramento</w:t>
      </w:r>
      <w:proofErr w:type="gramEnd"/>
      <w:r w:rsidRPr="00380AA9">
        <w:rPr>
          <w:rFonts w:ascii="Arial" w:hAnsi="Arial" w:cs="Arial"/>
          <w:color w:val="000000"/>
          <w:sz w:val="18"/>
          <w:szCs w:val="18"/>
        </w:rPr>
        <w:t xml:space="preserve"> de outra área equivalente e excedente à Reserva Legal, em imóvel de mesma titularidade ou adquirida em imóvel de terceiro, com vegetação nativa estabelecida, em regeneração ou recomposição, desde que localizada no mesmo bioma. </w:t>
      </w:r>
    </w:p>
    <w:p w:rsidR="006F4326" w:rsidRPr="00380AA9" w:rsidRDefault="006F4326" w:rsidP="006F4326">
      <w:pPr>
        <w:pStyle w:val="texto1"/>
        <w:ind w:firstLine="570"/>
        <w:jc w:val="both"/>
        <w:rPr>
          <w:rFonts w:ascii="Arial" w:hAnsi="Arial" w:cs="Arial"/>
          <w:color w:val="000000"/>
          <w:sz w:val="18"/>
          <w:szCs w:val="18"/>
        </w:rPr>
      </w:pPr>
      <w:bookmarkStart w:id="42" w:name="art66§6"/>
      <w:bookmarkEnd w:id="42"/>
      <w:r w:rsidRPr="00380AA9">
        <w:rPr>
          <w:rFonts w:ascii="Arial" w:hAnsi="Arial" w:cs="Arial"/>
          <w:color w:val="000000"/>
          <w:sz w:val="18"/>
          <w:szCs w:val="18"/>
        </w:rPr>
        <w:lastRenderedPageBreak/>
        <w:t>§ 6</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As</w:t>
      </w:r>
      <w:proofErr w:type="gramEnd"/>
      <w:r w:rsidRPr="00380AA9">
        <w:rPr>
          <w:rFonts w:ascii="Arial" w:hAnsi="Arial" w:cs="Arial"/>
          <w:color w:val="000000"/>
          <w:sz w:val="18"/>
          <w:szCs w:val="18"/>
        </w:rPr>
        <w:t xml:space="preserve"> áreas a serem utilizadas para compensação na forma do § 5</w:t>
      </w:r>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deverão:            </w:t>
      </w:r>
      <w:hyperlink r:id="rId53" w:history="1">
        <w:r w:rsidRPr="00380AA9">
          <w:rPr>
            <w:rStyle w:val="Hyperlink"/>
            <w:rFonts w:ascii="Arial" w:hAnsi="Arial" w:cs="Arial"/>
            <w:sz w:val="18"/>
            <w:szCs w:val="18"/>
          </w:rPr>
          <w:t>(Vide ADC Nº 42)</w:t>
        </w:r>
      </w:hyperlink>
      <w:r w:rsidRPr="00380AA9">
        <w:rPr>
          <w:rFonts w:ascii="Arial" w:hAnsi="Arial" w:cs="Arial"/>
          <w:color w:val="000000"/>
          <w:sz w:val="18"/>
          <w:szCs w:val="18"/>
        </w:rPr>
        <w:t>              </w:t>
      </w:r>
      <w:hyperlink r:id="rId54" w:history="1">
        <w:r w:rsidRPr="00380AA9">
          <w:rPr>
            <w:rStyle w:val="Hyperlink"/>
            <w:rFonts w:ascii="Arial" w:hAnsi="Arial" w:cs="Arial"/>
            <w:sz w:val="18"/>
            <w:szCs w:val="18"/>
          </w:rPr>
          <w:t>(Vide ADIN Nº 4.901)</w:t>
        </w:r>
      </w:hyperlink>
    </w:p>
    <w:p w:rsidR="006F4326" w:rsidRPr="00380AA9" w:rsidRDefault="006F4326" w:rsidP="006F4326">
      <w:pPr>
        <w:pStyle w:val="texto1"/>
        <w:ind w:firstLine="570"/>
        <w:jc w:val="both"/>
        <w:rPr>
          <w:rFonts w:ascii="Arial" w:hAnsi="Arial" w:cs="Arial"/>
          <w:color w:val="000000"/>
          <w:sz w:val="18"/>
          <w:szCs w:val="18"/>
        </w:rPr>
      </w:pPr>
      <w:bookmarkStart w:id="43" w:name="art66§6i"/>
      <w:bookmarkEnd w:id="43"/>
      <w:r w:rsidRPr="00380AA9">
        <w:rPr>
          <w:rFonts w:ascii="Arial" w:hAnsi="Arial" w:cs="Arial"/>
          <w:color w:val="000000"/>
          <w:sz w:val="18"/>
          <w:szCs w:val="18"/>
        </w:rPr>
        <w:t xml:space="preserve">I - </w:t>
      </w:r>
      <w:proofErr w:type="gramStart"/>
      <w:r w:rsidRPr="00380AA9">
        <w:rPr>
          <w:rFonts w:ascii="Arial" w:hAnsi="Arial" w:cs="Arial"/>
          <w:color w:val="000000"/>
          <w:sz w:val="18"/>
          <w:szCs w:val="18"/>
        </w:rPr>
        <w:t>ser</w:t>
      </w:r>
      <w:proofErr w:type="gramEnd"/>
      <w:r w:rsidRPr="00380AA9">
        <w:rPr>
          <w:rFonts w:ascii="Arial" w:hAnsi="Arial" w:cs="Arial"/>
          <w:color w:val="000000"/>
          <w:sz w:val="18"/>
          <w:szCs w:val="18"/>
        </w:rPr>
        <w:t xml:space="preserve"> equivalentes em extensão à área da Reserva Legal a ser compensada; </w:t>
      </w:r>
    </w:p>
    <w:p w:rsidR="006F4326" w:rsidRPr="00380AA9" w:rsidRDefault="006F4326" w:rsidP="006F4326">
      <w:pPr>
        <w:pStyle w:val="texto1"/>
        <w:ind w:firstLine="570"/>
        <w:jc w:val="both"/>
        <w:rPr>
          <w:rFonts w:ascii="Arial" w:hAnsi="Arial" w:cs="Arial"/>
          <w:color w:val="000000"/>
          <w:sz w:val="18"/>
          <w:szCs w:val="18"/>
        </w:rPr>
      </w:pPr>
      <w:bookmarkStart w:id="44" w:name="art66§6ii"/>
      <w:bookmarkEnd w:id="44"/>
      <w:r w:rsidRPr="00380AA9">
        <w:rPr>
          <w:rFonts w:ascii="Arial" w:hAnsi="Arial" w:cs="Arial"/>
          <w:color w:val="000000"/>
          <w:sz w:val="18"/>
          <w:szCs w:val="18"/>
        </w:rPr>
        <w:t xml:space="preserve">II - </w:t>
      </w:r>
      <w:proofErr w:type="gramStart"/>
      <w:r w:rsidRPr="00380AA9">
        <w:rPr>
          <w:rFonts w:ascii="Arial" w:hAnsi="Arial" w:cs="Arial"/>
          <w:color w:val="000000"/>
          <w:sz w:val="18"/>
          <w:szCs w:val="18"/>
        </w:rPr>
        <w:t>estar</w:t>
      </w:r>
      <w:proofErr w:type="gramEnd"/>
      <w:r w:rsidRPr="00380AA9">
        <w:rPr>
          <w:rFonts w:ascii="Arial" w:hAnsi="Arial" w:cs="Arial"/>
          <w:color w:val="000000"/>
          <w:sz w:val="18"/>
          <w:szCs w:val="18"/>
        </w:rPr>
        <w:t xml:space="preserve"> localizadas no mesmo bioma da área de Reserva Legal a ser compensada; </w:t>
      </w:r>
    </w:p>
    <w:p w:rsidR="006F4326" w:rsidRPr="00380AA9" w:rsidRDefault="006F4326" w:rsidP="006F4326">
      <w:pPr>
        <w:pStyle w:val="texto1"/>
        <w:ind w:firstLine="570"/>
        <w:jc w:val="both"/>
        <w:rPr>
          <w:rFonts w:ascii="Arial" w:hAnsi="Arial" w:cs="Arial"/>
          <w:color w:val="000000"/>
          <w:sz w:val="18"/>
          <w:szCs w:val="18"/>
        </w:rPr>
      </w:pPr>
      <w:bookmarkStart w:id="45" w:name="art66§6iii"/>
      <w:bookmarkEnd w:id="45"/>
      <w:r w:rsidRPr="00380AA9">
        <w:rPr>
          <w:rFonts w:ascii="Arial" w:hAnsi="Arial" w:cs="Arial"/>
          <w:color w:val="000000"/>
          <w:sz w:val="18"/>
          <w:szCs w:val="18"/>
        </w:rPr>
        <w:t>III - se fora do Estado, estar localizadas em áreas identificadas como prioritárias pela União ou pelos Estados. </w:t>
      </w:r>
    </w:p>
    <w:p w:rsidR="006F4326" w:rsidRPr="00380AA9" w:rsidRDefault="006F4326" w:rsidP="006F4326">
      <w:pPr>
        <w:pStyle w:val="texto1"/>
        <w:ind w:firstLine="570"/>
        <w:jc w:val="both"/>
        <w:rPr>
          <w:rFonts w:ascii="Arial" w:hAnsi="Arial" w:cs="Arial"/>
          <w:color w:val="000000"/>
          <w:sz w:val="18"/>
          <w:szCs w:val="18"/>
        </w:rPr>
      </w:pPr>
      <w:bookmarkStart w:id="46" w:name="art66§7"/>
      <w:bookmarkEnd w:id="46"/>
      <w:r w:rsidRPr="00380AA9">
        <w:rPr>
          <w:rFonts w:ascii="Arial" w:hAnsi="Arial" w:cs="Arial"/>
          <w:color w:val="000000"/>
          <w:sz w:val="18"/>
          <w:szCs w:val="18"/>
        </w:rPr>
        <w:t>§ 7</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w:t>
      </w:r>
      <w:proofErr w:type="gramEnd"/>
      <w:r w:rsidRPr="00380AA9">
        <w:rPr>
          <w:rFonts w:ascii="Arial" w:hAnsi="Arial" w:cs="Arial"/>
          <w:color w:val="000000"/>
          <w:sz w:val="18"/>
          <w:szCs w:val="18"/>
        </w:rPr>
        <w:t xml:space="preserve"> definição de áreas prioritárias de que trata o § 6</w:t>
      </w:r>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buscará favorecer, entre outros, a recuperação de bacias hidrográficas excessivamente desmatadas, a criação de corredores ecológicos, a conservação de grandes áreas protegidas e a conservação ou recuperação de ecossistemas ou espécies ameaçados. </w:t>
      </w:r>
    </w:p>
    <w:p w:rsidR="006F4326" w:rsidRPr="00380AA9" w:rsidRDefault="006F4326" w:rsidP="006F4326">
      <w:pPr>
        <w:pStyle w:val="texto1"/>
        <w:ind w:firstLine="570"/>
        <w:jc w:val="both"/>
        <w:rPr>
          <w:rFonts w:ascii="Arial" w:hAnsi="Arial" w:cs="Arial"/>
          <w:color w:val="000000"/>
          <w:sz w:val="18"/>
          <w:szCs w:val="18"/>
        </w:rPr>
      </w:pPr>
      <w:bookmarkStart w:id="47" w:name="art66§8"/>
      <w:bookmarkEnd w:id="47"/>
      <w:r w:rsidRPr="00380AA9">
        <w:rPr>
          <w:rFonts w:ascii="Arial" w:hAnsi="Arial" w:cs="Arial"/>
          <w:color w:val="000000"/>
          <w:sz w:val="18"/>
          <w:szCs w:val="18"/>
        </w:rPr>
        <w:t>§ 8</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Quando</w:t>
      </w:r>
      <w:proofErr w:type="gramEnd"/>
      <w:r w:rsidRPr="00380AA9">
        <w:rPr>
          <w:rFonts w:ascii="Arial" w:hAnsi="Arial" w:cs="Arial"/>
          <w:color w:val="000000"/>
          <w:sz w:val="18"/>
          <w:szCs w:val="18"/>
        </w:rPr>
        <w:t xml:space="preserve"> se tratar de imóveis públicos, a compensação de que trata o inciso III do caput</w:t>
      </w:r>
      <w:r w:rsidRPr="00380AA9">
        <w:rPr>
          <w:rFonts w:ascii="Arial" w:hAnsi="Arial" w:cs="Arial"/>
          <w:i/>
          <w:iCs/>
          <w:color w:val="000000"/>
          <w:sz w:val="18"/>
          <w:szCs w:val="18"/>
        </w:rPr>
        <w:t> </w:t>
      </w:r>
      <w:r w:rsidRPr="00380AA9">
        <w:rPr>
          <w:rFonts w:ascii="Arial" w:hAnsi="Arial" w:cs="Arial"/>
          <w:color w:val="000000"/>
          <w:sz w:val="18"/>
          <w:szCs w:val="18"/>
        </w:rPr>
        <w:t>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 </w:t>
      </w:r>
    </w:p>
    <w:p w:rsidR="006F4326" w:rsidRPr="00380AA9" w:rsidRDefault="006F4326" w:rsidP="006F4326">
      <w:pPr>
        <w:pStyle w:val="texto1"/>
        <w:ind w:firstLine="570"/>
        <w:jc w:val="both"/>
        <w:rPr>
          <w:rFonts w:ascii="Arial" w:hAnsi="Arial" w:cs="Arial"/>
          <w:color w:val="000000"/>
          <w:sz w:val="18"/>
          <w:szCs w:val="18"/>
        </w:rPr>
      </w:pPr>
      <w:bookmarkStart w:id="48" w:name="art66§9"/>
      <w:bookmarkEnd w:id="48"/>
      <w:r w:rsidRPr="00380AA9">
        <w:rPr>
          <w:rFonts w:ascii="Arial" w:hAnsi="Arial" w:cs="Arial"/>
          <w:color w:val="000000"/>
          <w:sz w:val="18"/>
          <w:szCs w:val="18"/>
        </w:rPr>
        <w:t>§ 9</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As</w:t>
      </w:r>
      <w:proofErr w:type="gramEnd"/>
      <w:r w:rsidRPr="00380AA9">
        <w:rPr>
          <w:rFonts w:ascii="Arial" w:hAnsi="Arial" w:cs="Arial"/>
          <w:color w:val="000000"/>
          <w:sz w:val="18"/>
          <w:szCs w:val="18"/>
        </w:rPr>
        <w:t xml:space="preserve"> medidas de compensação previstas neste artigo não poderão ser utilizadas como forma de viabilizar a conversão de novas áreas para uso alternativo do solo. </w:t>
      </w:r>
    </w:p>
    <w:p w:rsidR="006F4326" w:rsidRPr="00380AA9" w:rsidRDefault="006F4326" w:rsidP="006F4326">
      <w:pPr>
        <w:pStyle w:val="texto1"/>
        <w:ind w:firstLine="570"/>
        <w:jc w:val="both"/>
        <w:rPr>
          <w:rFonts w:ascii="Arial" w:hAnsi="Arial" w:cs="Arial"/>
          <w:color w:val="000000"/>
          <w:sz w:val="18"/>
          <w:szCs w:val="18"/>
          <w:lang w:val="fr-FR"/>
        </w:rPr>
      </w:pPr>
      <w:bookmarkStart w:id="49" w:name="art67"/>
      <w:bookmarkEnd w:id="49"/>
      <w:r w:rsidRPr="00380AA9">
        <w:rPr>
          <w:rFonts w:ascii="Arial" w:hAnsi="Arial" w:cs="Arial"/>
          <w:color w:val="000000"/>
          <w:sz w:val="18"/>
          <w:szCs w:val="18"/>
        </w:rPr>
        <w:t>Art. 67.  Nos imóveis rurais que detinham, em 22 de julho de 2008, área de até 4 (quatro) módulos fiscais e que possuam remanescente de vegetação nativa em percentuais inferiores ao previsto no art. 12, a R</w:t>
      </w:r>
      <w:bookmarkStart w:id="50" w:name="_GoBack"/>
      <w:bookmarkEnd w:id="50"/>
      <w:r w:rsidRPr="00380AA9">
        <w:rPr>
          <w:rFonts w:ascii="Arial" w:hAnsi="Arial" w:cs="Arial"/>
          <w:color w:val="000000"/>
          <w:sz w:val="18"/>
          <w:szCs w:val="18"/>
        </w:rPr>
        <w:t>eserva Legal será constituída com a área ocupada com a vegetação nativa existente em 22 de julho de 2008, vedadas novas conversões para uso alternativo do solo.             </w:t>
      </w:r>
      <w:hyperlink r:id="rId55" w:history="1">
        <w:r w:rsidRPr="00380AA9">
          <w:rPr>
            <w:rStyle w:val="Hyperlink"/>
            <w:rFonts w:ascii="Arial" w:hAnsi="Arial" w:cs="Arial"/>
            <w:sz w:val="18"/>
            <w:szCs w:val="18"/>
            <w:lang w:val="fr-FR"/>
          </w:rPr>
          <w:t>(Vide ADC Nº 42)</w:t>
        </w:r>
      </w:hyperlink>
      <w:r w:rsidRPr="00380AA9">
        <w:rPr>
          <w:rFonts w:ascii="Arial" w:hAnsi="Arial" w:cs="Arial"/>
          <w:color w:val="000000"/>
          <w:sz w:val="18"/>
          <w:szCs w:val="18"/>
          <w:lang w:val="fr-FR"/>
        </w:rPr>
        <w:t>      </w:t>
      </w:r>
      <w:hyperlink r:id="rId56" w:history="1">
        <w:r w:rsidRPr="00380AA9">
          <w:rPr>
            <w:rStyle w:val="Hyperlink"/>
            <w:rFonts w:ascii="Arial" w:hAnsi="Arial" w:cs="Arial"/>
            <w:sz w:val="18"/>
            <w:szCs w:val="18"/>
            <w:lang w:val="fr-FR"/>
          </w:rPr>
          <w:t>(Vide ADIN Nº 4.902)</w:t>
        </w:r>
      </w:hyperlink>
      <w:r w:rsidRPr="00380AA9">
        <w:rPr>
          <w:rFonts w:ascii="Arial" w:hAnsi="Arial" w:cs="Arial"/>
          <w:color w:val="000000"/>
          <w:sz w:val="18"/>
          <w:szCs w:val="18"/>
          <w:lang w:val="fr-FR"/>
        </w:rPr>
        <w:t>      </w:t>
      </w:r>
      <w:hyperlink r:id="rId57" w:history="1">
        <w:r w:rsidRPr="00380AA9">
          <w:rPr>
            <w:rStyle w:val="Hyperlink"/>
            <w:rFonts w:ascii="Arial" w:hAnsi="Arial" w:cs="Arial"/>
            <w:sz w:val="18"/>
            <w:szCs w:val="18"/>
            <w:lang w:val="fr-FR"/>
          </w:rPr>
          <w:t>(Vide ADIN Nº 4.901)</w:t>
        </w:r>
      </w:hyperlink>
    </w:p>
    <w:p w:rsidR="006F4326" w:rsidRPr="00380AA9" w:rsidRDefault="006F4326" w:rsidP="006F4326">
      <w:pPr>
        <w:pStyle w:val="texto1"/>
        <w:ind w:firstLine="570"/>
        <w:jc w:val="both"/>
        <w:rPr>
          <w:rFonts w:ascii="Arial" w:hAnsi="Arial" w:cs="Arial"/>
          <w:color w:val="000000"/>
          <w:sz w:val="18"/>
          <w:szCs w:val="18"/>
        </w:rPr>
      </w:pPr>
      <w:bookmarkStart w:id="51" w:name="art68"/>
      <w:bookmarkEnd w:id="51"/>
      <w:r w:rsidRPr="00380AA9">
        <w:rPr>
          <w:rFonts w:ascii="Arial" w:hAnsi="Arial" w:cs="Arial"/>
          <w:color w:val="000000"/>
          <w:sz w:val="18"/>
          <w:szCs w:val="18"/>
          <w:lang w:val="fr-FR"/>
        </w:rPr>
        <w:t xml:space="preserve">Art. 68.  </w:t>
      </w:r>
      <w:r w:rsidRPr="00380AA9">
        <w:rPr>
          <w:rFonts w:ascii="Arial" w:hAnsi="Arial" w:cs="Arial"/>
          <w:color w:val="000000"/>
          <w:sz w:val="18"/>
          <w:szCs w:val="18"/>
        </w:rPr>
        <w:t>Os proprietários ou possuidores de imóveis rurais que realizaram supressão de vegetação nativa respeitando os percentuais de Reserva Legal previstos pela legislação em vigor à época em que ocorreu a supressão são dispensados de promover a recomposição, compensação ou regeneração para os percentuais exigidos nesta Lei.              </w:t>
      </w:r>
      <w:hyperlink r:id="rId58" w:history="1">
        <w:r w:rsidRPr="00380AA9">
          <w:rPr>
            <w:rStyle w:val="Hyperlink"/>
            <w:rFonts w:ascii="Arial" w:hAnsi="Arial" w:cs="Arial"/>
            <w:sz w:val="18"/>
            <w:szCs w:val="18"/>
          </w:rPr>
          <w:t>(Vide ADC Nº 42)</w:t>
        </w:r>
      </w:hyperlink>
      <w:r w:rsidRPr="00380AA9">
        <w:rPr>
          <w:rFonts w:ascii="Arial" w:hAnsi="Arial" w:cs="Arial"/>
          <w:color w:val="000000"/>
          <w:sz w:val="18"/>
          <w:szCs w:val="18"/>
        </w:rPr>
        <w:t>                 </w:t>
      </w:r>
      <w:hyperlink r:id="rId59" w:history="1">
        <w:r w:rsidRPr="00380AA9">
          <w:rPr>
            <w:rStyle w:val="Hyperlink"/>
            <w:rFonts w:ascii="Arial" w:hAnsi="Arial" w:cs="Arial"/>
            <w:sz w:val="18"/>
            <w:szCs w:val="18"/>
          </w:rPr>
          <w:t>(Vide ADIN Nº 4.901)</w:t>
        </w:r>
      </w:hyperlink>
    </w:p>
    <w:p w:rsidR="006F4326" w:rsidRPr="00380AA9" w:rsidRDefault="006F4326" w:rsidP="006F4326">
      <w:pPr>
        <w:pStyle w:val="texto1"/>
        <w:ind w:firstLine="570"/>
        <w:jc w:val="both"/>
        <w:rPr>
          <w:rFonts w:ascii="Arial" w:hAnsi="Arial" w:cs="Arial"/>
          <w:color w:val="000000"/>
          <w:sz w:val="18"/>
          <w:szCs w:val="18"/>
        </w:rPr>
      </w:pPr>
      <w:r w:rsidRPr="00380AA9">
        <w:rPr>
          <w:rFonts w:ascii="Arial" w:hAnsi="Arial" w:cs="Arial"/>
          <w:color w:val="000000"/>
          <w:sz w:val="18"/>
          <w:szCs w:val="18"/>
        </w:rPr>
        <w:t>§ 1</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Os</w:t>
      </w:r>
      <w:proofErr w:type="gramEnd"/>
      <w:r w:rsidRPr="00380AA9">
        <w:rPr>
          <w:rFonts w:ascii="Arial" w:hAnsi="Arial" w:cs="Arial"/>
          <w:color w:val="000000"/>
          <w:sz w:val="18"/>
          <w:szCs w:val="18"/>
        </w:rPr>
        <w:t xml:space="preserve"> proprietários ou possuidores de imóveis rurais poderão provar essas situações consolidadas por documentos tais como a descrição de fatos históricos de ocupação da região, registros de comercialização, dados agropecuários da atividade, contratos e documentos bancários relativos à produção, e por todos os outros meios de prova em direito admitidos. </w:t>
      </w:r>
    </w:p>
    <w:p w:rsidR="006F4326" w:rsidRPr="00380AA9" w:rsidRDefault="006F4326" w:rsidP="006F4326">
      <w:pPr>
        <w:pStyle w:val="texto1"/>
        <w:ind w:firstLine="570"/>
        <w:jc w:val="both"/>
        <w:rPr>
          <w:rFonts w:ascii="Arial" w:hAnsi="Arial" w:cs="Arial"/>
          <w:color w:val="000000"/>
          <w:sz w:val="18"/>
          <w:szCs w:val="18"/>
        </w:rPr>
      </w:pPr>
      <w:r w:rsidRPr="00380AA9">
        <w:rPr>
          <w:rFonts w:ascii="Arial" w:hAnsi="Arial" w:cs="Arial"/>
          <w:color w:val="000000"/>
          <w:sz w:val="18"/>
          <w:szCs w:val="18"/>
        </w:rPr>
        <w:t>§ 2</w:t>
      </w:r>
      <w:proofErr w:type="gramStart"/>
      <w:r w:rsidRPr="00380AA9">
        <w:rPr>
          <w:rFonts w:ascii="Arial" w:hAnsi="Arial" w:cs="Arial"/>
          <w:color w:val="000000"/>
          <w:sz w:val="18"/>
          <w:szCs w:val="18"/>
          <w:u w:val="single"/>
          <w:vertAlign w:val="superscript"/>
        </w:rPr>
        <w:t>o</w:t>
      </w:r>
      <w:r w:rsidRPr="00380AA9">
        <w:rPr>
          <w:rFonts w:ascii="Arial" w:hAnsi="Arial" w:cs="Arial"/>
          <w:color w:val="000000"/>
          <w:sz w:val="18"/>
          <w:szCs w:val="18"/>
        </w:rPr>
        <w:t>  Os</w:t>
      </w:r>
      <w:proofErr w:type="gramEnd"/>
      <w:r w:rsidRPr="00380AA9">
        <w:rPr>
          <w:rFonts w:ascii="Arial" w:hAnsi="Arial" w:cs="Arial"/>
          <w:color w:val="000000"/>
          <w:sz w:val="18"/>
          <w:szCs w:val="18"/>
        </w:rPr>
        <w:t xml:space="preserve"> proprietários ou possuidores de imóveis rurais, na Amazônia Legal, e seus herdeiros necessários que possuam índice de Reserva Legal maior que 50% (cinquenta por cento) de cobertura florestal e não realizaram a supressão da vegetação nos percentuais previstos pela legislação em vigor à época poderão utilizar a área excedente de Reserva Legal também para fins de constituição de servidão ambiental, Cota de Reserva Ambiental - CRA e outros instrumentos congêneres previstos nesta Lei. </w:t>
      </w:r>
    </w:p>
    <w:p w:rsidR="00734850" w:rsidRDefault="00734850" w:rsidP="006F4326">
      <w:pPr>
        <w:pStyle w:val="texto1"/>
        <w:ind w:firstLine="570"/>
        <w:jc w:val="both"/>
        <w:rPr>
          <w:rFonts w:ascii="Arial" w:hAnsi="Arial" w:cs="Arial"/>
          <w:color w:val="000000"/>
        </w:rPr>
      </w:pPr>
    </w:p>
    <w:sectPr w:rsidR="00734850" w:rsidSect="00B71C8F">
      <w:headerReference w:type="default" r:id="rId60"/>
      <w:pgSz w:w="11907" w:h="16839" w:code="9"/>
      <w:pgMar w:top="1814"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78" w:rsidRDefault="00F16D78" w:rsidP="005D01C5">
      <w:pPr>
        <w:spacing w:line="240" w:lineRule="auto"/>
      </w:pPr>
      <w:r>
        <w:separator/>
      </w:r>
    </w:p>
  </w:endnote>
  <w:endnote w:type="continuationSeparator" w:id="0">
    <w:p w:rsidR="00F16D78" w:rsidRDefault="00F16D78" w:rsidP="005D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78" w:rsidRDefault="00F16D78" w:rsidP="005D01C5">
      <w:pPr>
        <w:spacing w:line="240" w:lineRule="auto"/>
      </w:pPr>
      <w:r>
        <w:separator/>
      </w:r>
    </w:p>
  </w:footnote>
  <w:footnote w:type="continuationSeparator" w:id="0">
    <w:p w:rsidR="00F16D78" w:rsidRDefault="00F16D78" w:rsidP="005D01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2281"/>
      <w:docPartObj>
        <w:docPartGallery w:val="Page Numbers (Top of Page)"/>
        <w:docPartUnique/>
      </w:docPartObj>
    </w:sdtPr>
    <w:sdtEndPr/>
    <w:sdtContent>
      <w:p w:rsidR="005D01C5" w:rsidRDefault="00343C35">
        <w:pPr>
          <w:pStyle w:val="Cabealho"/>
          <w:jc w:val="right"/>
        </w:pPr>
        <w:r>
          <w:fldChar w:fldCharType="begin"/>
        </w:r>
        <w:r>
          <w:instrText xml:space="preserve"> PAGE   \* MERGEFORMAT </w:instrText>
        </w:r>
        <w:r>
          <w:fldChar w:fldCharType="separate"/>
        </w:r>
        <w:r w:rsidR="00380AA9">
          <w:rPr>
            <w:noProof/>
          </w:rPr>
          <w:t>19</w:t>
        </w:r>
        <w:r>
          <w:rPr>
            <w:noProof/>
          </w:rPr>
          <w:fldChar w:fldCharType="end"/>
        </w:r>
      </w:p>
    </w:sdtContent>
  </w:sdt>
  <w:p w:rsidR="005D01C5" w:rsidRDefault="005D01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C51"/>
    <w:multiLevelType w:val="hybridMultilevel"/>
    <w:tmpl w:val="274861A2"/>
    <w:lvl w:ilvl="0" w:tplc="D14A929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6EB0B92"/>
    <w:multiLevelType w:val="hybridMultilevel"/>
    <w:tmpl w:val="AAE45A04"/>
    <w:lvl w:ilvl="0" w:tplc="D96A4A4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15F6CBF"/>
    <w:multiLevelType w:val="hybridMultilevel"/>
    <w:tmpl w:val="75AA86FE"/>
    <w:lvl w:ilvl="0" w:tplc="04AEEE2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98D141A"/>
    <w:multiLevelType w:val="hybridMultilevel"/>
    <w:tmpl w:val="3D741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23F357B"/>
    <w:multiLevelType w:val="hybridMultilevel"/>
    <w:tmpl w:val="D64A8588"/>
    <w:lvl w:ilvl="0" w:tplc="9172481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D3D556E"/>
    <w:multiLevelType w:val="hybridMultilevel"/>
    <w:tmpl w:val="48CAEFEA"/>
    <w:lvl w:ilvl="0" w:tplc="FA5C5DC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51237A90"/>
    <w:multiLevelType w:val="hybridMultilevel"/>
    <w:tmpl w:val="7C1C9EBA"/>
    <w:lvl w:ilvl="0" w:tplc="9C141F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72F70DD"/>
    <w:multiLevelType w:val="hybridMultilevel"/>
    <w:tmpl w:val="0AACE1DC"/>
    <w:lvl w:ilvl="0" w:tplc="A5486D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6D"/>
    <w:rsid w:val="00005014"/>
    <w:rsid w:val="000C714F"/>
    <w:rsid w:val="000F3A6D"/>
    <w:rsid w:val="001A5993"/>
    <w:rsid w:val="001E300B"/>
    <w:rsid w:val="00285254"/>
    <w:rsid w:val="00343C35"/>
    <w:rsid w:val="003456BE"/>
    <w:rsid w:val="00380AA9"/>
    <w:rsid w:val="004D5275"/>
    <w:rsid w:val="005B4BE5"/>
    <w:rsid w:val="005D01C5"/>
    <w:rsid w:val="0064000D"/>
    <w:rsid w:val="006A616D"/>
    <w:rsid w:val="006D66CD"/>
    <w:rsid w:val="006F4326"/>
    <w:rsid w:val="00734850"/>
    <w:rsid w:val="00795CA8"/>
    <w:rsid w:val="00806644"/>
    <w:rsid w:val="00867501"/>
    <w:rsid w:val="008F1EBC"/>
    <w:rsid w:val="00A016B5"/>
    <w:rsid w:val="00A5652D"/>
    <w:rsid w:val="00A70692"/>
    <w:rsid w:val="00AF5754"/>
    <w:rsid w:val="00B71C8F"/>
    <w:rsid w:val="00B9635F"/>
    <w:rsid w:val="00BF60AD"/>
    <w:rsid w:val="00C31771"/>
    <w:rsid w:val="00C707A7"/>
    <w:rsid w:val="00DE6C44"/>
    <w:rsid w:val="00DE7D36"/>
    <w:rsid w:val="00F16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D707D-A558-4648-984C-E370E0FE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pt-B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6D"/>
    <w:pPr>
      <w:spacing w:before="0" w:after="0"/>
    </w:pPr>
    <w:rPr>
      <w:rFonts w:ascii="Calibri" w:eastAsia="Calibri" w:hAnsi="Calibri"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F3A6D"/>
    <w:pPr>
      <w:ind w:left="720"/>
      <w:contextualSpacing/>
    </w:pPr>
  </w:style>
  <w:style w:type="paragraph" w:customStyle="1" w:styleId="cabea">
    <w:name w:val="cabea"/>
    <w:basedOn w:val="Normal"/>
    <w:rsid w:val="00AF575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AF575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F5754"/>
  </w:style>
  <w:style w:type="character" w:styleId="Hyperlink">
    <w:name w:val="Hyperlink"/>
    <w:basedOn w:val="Fontepargpadro"/>
    <w:uiPriority w:val="99"/>
    <w:semiHidden/>
    <w:unhideWhenUsed/>
    <w:rsid w:val="00AF5754"/>
    <w:rPr>
      <w:color w:val="0000FF"/>
      <w:u w:val="single"/>
    </w:rPr>
  </w:style>
  <w:style w:type="paragraph" w:customStyle="1" w:styleId="texto2">
    <w:name w:val="texto2"/>
    <w:basedOn w:val="Normal"/>
    <w:rsid w:val="00AF575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4000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000D"/>
    <w:rPr>
      <w:b/>
      <w:bCs/>
    </w:rPr>
  </w:style>
  <w:style w:type="paragraph" w:styleId="Cabealho">
    <w:name w:val="header"/>
    <w:basedOn w:val="Normal"/>
    <w:link w:val="CabealhoChar"/>
    <w:uiPriority w:val="99"/>
    <w:unhideWhenUsed/>
    <w:rsid w:val="005D01C5"/>
    <w:pPr>
      <w:tabs>
        <w:tab w:val="center" w:pos="4252"/>
        <w:tab w:val="right" w:pos="8504"/>
      </w:tabs>
      <w:spacing w:line="240" w:lineRule="auto"/>
    </w:pPr>
  </w:style>
  <w:style w:type="character" w:customStyle="1" w:styleId="CabealhoChar">
    <w:name w:val="Cabeçalho Char"/>
    <w:basedOn w:val="Fontepargpadro"/>
    <w:link w:val="Cabealho"/>
    <w:uiPriority w:val="99"/>
    <w:rsid w:val="005D01C5"/>
    <w:rPr>
      <w:rFonts w:ascii="Calibri" w:eastAsia="Calibri" w:hAnsi="Calibri" w:cs="Calibri"/>
      <w:sz w:val="22"/>
      <w:szCs w:val="22"/>
    </w:rPr>
  </w:style>
  <w:style w:type="paragraph" w:styleId="Rodap">
    <w:name w:val="footer"/>
    <w:basedOn w:val="Normal"/>
    <w:link w:val="RodapChar"/>
    <w:uiPriority w:val="99"/>
    <w:semiHidden/>
    <w:unhideWhenUsed/>
    <w:rsid w:val="005D01C5"/>
    <w:pPr>
      <w:tabs>
        <w:tab w:val="center" w:pos="4252"/>
        <w:tab w:val="right" w:pos="8504"/>
      </w:tabs>
      <w:spacing w:line="240" w:lineRule="auto"/>
    </w:pPr>
  </w:style>
  <w:style w:type="character" w:customStyle="1" w:styleId="RodapChar">
    <w:name w:val="Rodapé Char"/>
    <w:basedOn w:val="Fontepargpadro"/>
    <w:link w:val="Rodap"/>
    <w:uiPriority w:val="99"/>
    <w:semiHidden/>
    <w:rsid w:val="005D01C5"/>
    <w:rPr>
      <w:rFonts w:ascii="Calibri" w:eastAsia="Calibri" w:hAnsi="Calibri" w:cs="Calibri"/>
      <w:sz w:val="22"/>
      <w:szCs w:val="22"/>
    </w:rPr>
  </w:style>
  <w:style w:type="paragraph" w:styleId="Textodebalo">
    <w:name w:val="Balloon Text"/>
    <w:basedOn w:val="Normal"/>
    <w:link w:val="TextodebaloChar"/>
    <w:uiPriority w:val="99"/>
    <w:semiHidden/>
    <w:unhideWhenUsed/>
    <w:rsid w:val="00B71C8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210">
      <w:bodyDiv w:val="1"/>
      <w:marLeft w:val="0"/>
      <w:marRight w:val="0"/>
      <w:marTop w:val="0"/>
      <w:marBottom w:val="0"/>
      <w:divBdr>
        <w:top w:val="none" w:sz="0" w:space="0" w:color="auto"/>
        <w:left w:val="none" w:sz="0" w:space="0" w:color="auto"/>
        <w:bottom w:val="none" w:sz="0" w:space="0" w:color="auto"/>
        <w:right w:val="none" w:sz="0" w:space="0" w:color="auto"/>
      </w:divBdr>
    </w:div>
    <w:div w:id="175270317">
      <w:bodyDiv w:val="1"/>
      <w:marLeft w:val="0"/>
      <w:marRight w:val="0"/>
      <w:marTop w:val="0"/>
      <w:marBottom w:val="0"/>
      <w:divBdr>
        <w:top w:val="none" w:sz="0" w:space="0" w:color="auto"/>
        <w:left w:val="none" w:sz="0" w:space="0" w:color="auto"/>
        <w:bottom w:val="none" w:sz="0" w:space="0" w:color="auto"/>
        <w:right w:val="none" w:sz="0" w:space="0" w:color="auto"/>
      </w:divBdr>
    </w:div>
    <w:div w:id="1191644350">
      <w:bodyDiv w:val="1"/>
      <w:marLeft w:val="0"/>
      <w:marRight w:val="0"/>
      <w:marTop w:val="0"/>
      <w:marBottom w:val="0"/>
      <w:divBdr>
        <w:top w:val="none" w:sz="0" w:space="0" w:color="auto"/>
        <w:left w:val="none" w:sz="0" w:space="0" w:color="auto"/>
        <w:bottom w:val="none" w:sz="0" w:space="0" w:color="auto"/>
        <w:right w:val="none" w:sz="0" w:space="0" w:color="auto"/>
      </w:divBdr>
    </w:div>
    <w:div w:id="15721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2/Mpv/571.htm" TargetMode="External"/><Relationship Id="rId18" Type="http://schemas.openxmlformats.org/officeDocument/2006/relationships/hyperlink" Target="http://www.planalto.gov.br/ccivil_03/_Ato2011-2014/2012/Lei/L12727.htm" TargetMode="External"/><Relationship Id="rId26" Type="http://schemas.openxmlformats.org/officeDocument/2006/relationships/hyperlink" Target="http://www.planalto.gov.br/ccivil_03/_Ato2011-2014/2012/Mpv/571.htm" TargetMode="External"/><Relationship Id="rId39" Type="http://schemas.openxmlformats.org/officeDocument/2006/relationships/hyperlink" Target="http://www.planalto.gov.br/ccivil_03/_Ato2011-2014/2012/Lei/L12727.htm" TargetMode="External"/><Relationship Id="rId21" Type="http://schemas.openxmlformats.org/officeDocument/2006/relationships/hyperlink" Target="http://www.planalto.gov.br/ccivil_03/_Ato2011-2014/2012/Mpv/571.htm" TargetMode="External"/><Relationship Id="rId34" Type="http://schemas.openxmlformats.org/officeDocument/2006/relationships/hyperlink" Target="http://www.planalto.gov.br/ccivil_03/_Ato2011-2014/2012/Lei/L12727.htm" TargetMode="External"/><Relationship Id="rId42" Type="http://schemas.openxmlformats.org/officeDocument/2006/relationships/hyperlink" Target="http://www.planalto.gov.br/ccivil_03/_Ato2011-2014/2012/Lei/L12727.htm" TargetMode="External"/><Relationship Id="rId47" Type="http://schemas.openxmlformats.org/officeDocument/2006/relationships/hyperlink" Target="http://www.planalto.gov.br/ccivil_03/LEIS/LEIS_2001/L10257.htm" TargetMode="External"/><Relationship Id="rId50" Type="http://schemas.openxmlformats.org/officeDocument/2006/relationships/hyperlink" Target="http://www.stf.jus.br/portal/peticaoInicial/verPeticaoInicial.asp?base=ADIN&amp;s1=4901&amp;processo=4901" TargetMode="External"/><Relationship Id="rId55" Type="http://schemas.openxmlformats.org/officeDocument/2006/relationships/hyperlink" Target="http://www.stf.jus.br/portal/peticaoInicial/verPeticaoInicial.asp?base=ADCN&amp;s1=42&amp;processo=4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1-2014/2012/Lei/L12727.htm" TargetMode="External"/><Relationship Id="rId20" Type="http://schemas.openxmlformats.org/officeDocument/2006/relationships/hyperlink" Target="http://www.planalto.gov.br/ccivil_03/_Ato2011-2014/2012/Lei/L12727.htm" TargetMode="External"/><Relationship Id="rId29" Type="http://schemas.openxmlformats.org/officeDocument/2006/relationships/hyperlink" Target="http://www.planalto.gov.br/ccivil_03/_Ato2011-2014/2012/Lei/L12651.htm" TargetMode="External"/><Relationship Id="rId41" Type="http://schemas.openxmlformats.org/officeDocument/2006/relationships/hyperlink" Target="http://www.planalto.gov.br/ccivil_03/_Ato2011-2014/2012/Mpv/571.htm" TargetMode="External"/><Relationship Id="rId54" Type="http://schemas.openxmlformats.org/officeDocument/2006/relationships/hyperlink" Target="http://www.stf.jus.br/portal/peticaoInicial/verPeticaoInicial.asp?base=ADIN&amp;s1=4901&amp;processo=490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2/Mpv/571.htm" TargetMode="External"/><Relationship Id="rId24" Type="http://schemas.openxmlformats.org/officeDocument/2006/relationships/hyperlink" Target="http://www.planalto.gov.br/ccivil_03/_Ato2011-2014/2012/Mpv/571.htm" TargetMode="External"/><Relationship Id="rId32" Type="http://schemas.openxmlformats.org/officeDocument/2006/relationships/hyperlink" Target="http://www.planalto.gov.br/ccivil_03/LEIS/L6938.htm" TargetMode="External"/><Relationship Id="rId37" Type="http://schemas.openxmlformats.org/officeDocument/2006/relationships/hyperlink" Target="http://www.planalto.gov.br/ccivil_03/_Ato2011-2014/2012/Lei/L12727.htm" TargetMode="External"/><Relationship Id="rId40" Type="http://schemas.openxmlformats.org/officeDocument/2006/relationships/hyperlink" Target="http://www.planalto.gov.br/ccivil_03/_Ato2011-2014/2012/Lei/L12727.htm" TargetMode="External"/><Relationship Id="rId45" Type="http://schemas.openxmlformats.org/officeDocument/2006/relationships/hyperlink" Target="http://www.planalto.gov.br/ccivil_03/_Ato2011-2014/2012/Lei/L12727.htm" TargetMode="External"/><Relationship Id="rId53" Type="http://schemas.openxmlformats.org/officeDocument/2006/relationships/hyperlink" Target="http://www.stf.jus.br/portal/peticaoInicial/verPeticaoInicial.asp?base=ADCN&amp;s1=42&amp;processo=42" TargetMode="External"/><Relationship Id="rId58" Type="http://schemas.openxmlformats.org/officeDocument/2006/relationships/hyperlink" Target="http://www.stf.jus.br/portal/peticaoInicial/verPeticaoInicial.asp?base=ADCN&amp;s1=42&amp;processo=42" TargetMode="External"/><Relationship Id="rId5" Type="http://schemas.openxmlformats.org/officeDocument/2006/relationships/webSettings" Target="webSettings.xml"/><Relationship Id="rId15" Type="http://schemas.openxmlformats.org/officeDocument/2006/relationships/hyperlink" Target="http://www.planalto.gov.br/ccivil_03/_Ato2011-2014/2012/Lei/L12727.htm" TargetMode="External"/><Relationship Id="rId23" Type="http://schemas.openxmlformats.org/officeDocument/2006/relationships/hyperlink" Target="http://www.planalto.gov.br/ccivil_03/_Ato2011-2014/2012/Mpv/571.htm" TargetMode="External"/><Relationship Id="rId28" Type="http://schemas.openxmlformats.org/officeDocument/2006/relationships/hyperlink" Target="http://www.planalto.gov.br/ccivil_03/_Ato2011-2014/2012/Mpv/571.htm" TargetMode="External"/><Relationship Id="rId36" Type="http://schemas.openxmlformats.org/officeDocument/2006/relationships/hyperlink" Target="http://www.planalto.gov.br/ccivil_03/_Ato2011-2014/2012/Lei/L12727.htm" TargetMode="External"/><Relationship Id="rId49" Type="http://schemas.openxmlformats.org/officeDocument/2006/relationships/hyperlink" Target="http://www.stf.jus.br/portal/peticaoInicial/verPeticaoInicial.asp?base=ADCN&amp;s1=42&amp;processo=42" TargetMode="External"/><Relationship Id="rId57" Type="http://schemas.openxmlformats.org/officeDocument/2006/relationships/hyperlink" Target="http://www.stf.jus.br/portal/peticaoInicial/verPeticaoInicial.asp?base=ADIN&amp;s1=4901&amp;processo=4901" TargetMode="External"/><Relationship Id="rId61" Type="http://schemas.openxmlformats.org/officeDocument/2006/relationships/fontTable" Target="fontTable.xml"/><Relationship Id="rId10" Type="http://schemas.openxmlformats.org/officeDocument/2006/relationships/hyperlink" Target="http://www.planalto.gov.br/ccivil_03/_Ato2011-2014/2012/Lei/L12727.htm" TargetMode="External"/><Relationship Id="rId19" Type="http://schemas.openxmlformats.org/officeDocument/2006/relationships/hyperlink" Target="http://www.planalto.gov.br/ccivil_03/_Ato2011-2014/2012/Mpv/571.htm" TargetMode="External"/><Relationship Id="rId31" Type="http://schemas.openxmlformats.org/officeDocument/2006/relationships/hyperlink" Target="http://www.planalto.gov.br/ccivil_03/_Ato2011-2014/2012/Lei/L12727.htm" TargetMode="External"/><Relationship Id="rId44" Type="http://schemas.openxmlformats.org/officeDocument/2006/relationships/hyperlink" Target="http://www.planalto.gov.br/ccivil_03/_Ato2011-2014/2012/Lei/L12727.htm" TargetMode="External"/><Relationship Id="rId52" Type="http://schemas.openxmlformats.org/officeDocument/2006/relationships/hyperlink" Target="http://www.stf.jus.br/portal/peticaoInicial/verPeticaoInicial.asp?base=ADIN&amp;s1=4901&amp;processo=490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2/Lei/L12727.htm" TargetMode="External"/><Relationship Id="rId14" Type="http://schemas.openxmlformats.org/officeDocument/2006/relationships/hyperlink" Target="http://www.planalto.gov.br/ccivil_03/_Ato2011-2014/2012/Lei/L12727.htm" TargetMode="External"/><Relationship Id="rId22" Type="http://schemas.openxmlformats.org/officeDocument/2006/relationships/hyperlink" Target="http://www.planalto.gov.br/ccivil_03/_Ato2011-2014/2012/Lei/L12727.htm" TargetMode="External"/><Relationship Id="rId27" Type="http://schemas.openxmlformats.org/officeDocument/2006/relationships/hyperlink" Target="http://www.planalto.gov.br/ccivil_03/_Ato2011-2014/2012/Lei/L12727.htm" TargetMode="External"/><Relationship Id="rId30" Type="http://schemas.openxmlformats.org/officeDocument/2006/relationships/hyperlink" Target="http://www.planalto.gov.br/ccivil_03/_Ato2011-2014/2012/Lei/L12727.htm" TargetMode="External"/><Relationship Id="rId35" Type="http://schemas.openxmlformats.org/officeDocument/2006/relationships/hyperlink" Target="http://www.planalto.gov.br/ccivil_03/_Ato2011-2014/2012/Mpv/571.htm" TargetMode="External"/><Relationship Id="rId43" Type="http://schemas.openxmlformats.org/officeDocument/2006/relationships/hyperlink" Target="http://www.planalto.gov.br/ccivil_03/_Ato2011-2014/2012/Mpv/571.htm" TargetMode="External"/><Relationship Id="rId48" Type="http://schemas.openxmlformats.org/officeDocument/2006/relationships/hyperlink" Target="http://www.planalto.gov.br/ccivil_03/_Ato2011-2014/2012/Lei/L12727.htm" TargetMode="External"/><Relationship Id="rId56" Type="http://schemas.openxmlformats.org/officeDocument/2006/relationships/hyperlink" Target="http://www.stf.jus.br/portal/peticaoInicial/verPeticaoInicial.asp?base=ADIN&amp;s1=4902&amp;processo=4902" TargetMode="External"/><Relationship Id="rId8" Type="http://schemas.openxmlformats.org/officeDocument/2006/relationships/hyperlink" Target="http://legislacao.planalto.gov.br/legisla/legislacao.nsf/Viw_Identificacao/lei%2012.651-2012?OpenDocument" TargetMode="External"/><Relationship Id="rId51" Type="http://schemas.openxmlformats.org/officeDocument/2006/relationships/hyperlink" Target="http://www.stf.jus.br/portal/peticaoInicial/verPeticaoInicial.asp?base=ADCN&amp;s1=42&amp;processo=42" TargetMode="External"/><Relationship Id="rId3" Type="http://schemas.openxmlformats.org/officeDocument/2006/relationships/styles" Target="styles.xml"/><Relationship Id="rId12" Type="http://schemas.openxmlformats.org/officeDocument/2006/relationships/hyperlink" Target="http://www.planalto.gov.br/ccivil_03/_Ato2011-2014/2012/Lei/L12727.htm" TargetMode="External"/><Relationship Id="rId17" Type="http://schemas.openxmlformats.org/officeDocument/2006/relationships/hyperlink" Target="http://www.planalto.gov.br/ccivil_03/_Ato2011-2014/2012/Mpv/571.htm" TargetMode="External"/><Relationship Id="rId25" Type="http://schemas.openxmlformats.org/officeDocument/2006/relationships/hyperlink" Target="http://www.planalto.gov.br/ccivil_03/_Ato2011-2014/2012/Lei/L12727.htm" TargetMode="External"/><Relationship Id="rId33" Type="http://schemas.openxmlformats.org/officeDocument/2006/relationships/hyperlink" Target="http://www.planalto.gov.br/ccivil_03/_Ato2011-2014/2012/Mpv/571.htm" TargetMode="External"/><Relationship Id="rId38" Type="http://schemas.openxmlformats.org/officeDocument/2006/relationships/hyperlink" Target="http://www.planalto.gov.br/ccivil_03/_Ato2011-2014/2012/Lei/L12727.htm" TargetMode="External"/><Relationship Id="rId46" Type="http://schemas.openxmlformats.org/officeDocument/2006/relationships/hyperlink" Target="http://www.planalto.gov.br/ccivil_03/Constituicao/Constituicao.htm" TargetMode="External"/><Relationship Id="rId59" Type="http://schemas.openxmlformats.org/officeDocument/2006/relationships/hyperlink" Target="http://www.stf.jus.br/portal/peticaoInicial/verPeticaoInicial.asp?base=ADIN&amp;s1=4901&amp;processo=49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99E5-A957-409E-BCB5-D93F0FBE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10420</Words>
  <Characters>56269</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4</cp:revision>
  <cp:lastPrinted>2015-10-01T16:01:00Z</cp:lastPrinted>
  <dcterms:created xsi:type="dcterms:W3CDTF">2023-11-03T17:27:00Z</dcterms:created>
  <dcterms:modified xsi:type="dcterms:W3CDTF">2023-11-03T17:31:00Z</dcterms:modified>
</cp:coreProperties>
</file>