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5A4D" w14:textId="7FFBD7DA" w:rsidR="00C7594B" w:rsidRPr="00D46C6C" w:rsidRDefault="00C7594B" w:rsidP="00D46C6C">
      <w:pPr>
        <w:pStyle w:val="Ttulo1"/>
        <w:rPr>
          <w:b/>
          <w:bCs/>
        </w:rPr>
      </w:pPr>
      <w:r w:rsidRPr="00D46C6C">
        <w:rPr>
          <w:b/>
          <w:bCs/>
        </w:rPr>
        <w:t>Edital de Licitação do Terminal STS 11 no Porto de Santos</w:t>
      </w:r>
    </w:p>
    <w:p w14:paraId="137280EA" w14:textId="77777777" w:rsidR="00C7594B" w:rsidRDefault="00C7594B"/>
    <w:p w14:paraId="64B808F8" w14:textId="7B94B862" w:rsidR="001D4310" w:rsidRDefault="00C7594B">
      <w:pPr>
        <w:rPr>
          <w:b/>
          <w:bCs/>
        </w:rPr>
      </w:pPr>
      <w:r w:rsidRPr="00C7594B">
        <w:rPr>
          <w:b/>
          <w:bCs/>
        </w:rPr>
        <w:t xml:space="preserve">Manual de leitura da Seção E - Financeiro </w:t>
      </w:r>
    </w:p>
    <w:p w14:paraId="67C3CF63" w14:textId="77777777" w:rsidR="008E12B3" w:rsidRDefault="008E12B3">
      <w:pPr>
        <w:rPr>
          <w:b/>
          <w:bCs/>
        </w:rPr>
      </w:pPr>
    </w:p>
    <w:p w14:paraId="0CAD4904" w14:textId="7DE877AF" w:rsidR="008E12B3" w:rsidRDefault="008E12B3" w:rsidP="004C2AE6">
      <w:pPr>
        <w:jc w:val="both"/>
      </w:pPr>
      <w:proofErr w:type="spellStart"/>
      <w:r w:rsidRPr="008E12B3">
        <w:t>Obs</w:t>
      </w:r>
      <w:proofErr w:type="spellEnd"/>
      <w:r w:rsidRPr="008E12B3">
        <w:t>:</w:t>
      </w:r>
      <w:r>
        <w:t xml:space="preserve"> i) sempre se atentar a data-base dos valores (não se pode somar valores com </w:t>
      </w:r>
      <w:proofErr w:type="spellStart"/>
      <w:r>
        <w:t>datas-base</w:t>
      </w:r>
      <w:proofErr w:type="spellEnd"/>
      <w:r>
        <w:t xml:space="preserve"> diferentes); </w:t>
      </w:r>
      <w:proofErr w:type="spellStart"/>
      <w:r>
        <w:t>ii</w:t>
      </w:r>
      <w:proofErr w:type="spellEnd"/>
      <w:r>
        <w:t xml:space="preserve">) local para acesso dos documentos: </w:t>
      </w:r>
      <w:hyperlink r:id="rId5" w:history="1">
        <w:r w:rsidR="004C2AE6" w:rsidRPr="002A46FF">
          <w:rPr>
            <w:rStyle w:val="Hyperlink"/>
          </w:rPr>
          <w:t>https://www.gov.br/antaq/pt-br/assuntos/leiloes</w:t>
        </w:r>
      </w:hyperlink>
      <w:r w:rsidR="004C2AE6">
        <w:t xml:space="preserve"> (procurar pelo leilão do STS11 e ir na seção de “Documentação” pelo menu – lá estão todos os cadernos de estudo do Edital)</w:t>
      </w:r>
    </w:p>
    <w:p w14:paraId="11529D6B" w14:textId="77777777" w:rsidR="00D46CC9" w:rsidRDefault="00D46CC9" w:rsidP="004C2AE6">
      <w:pPr>
        <w:jc w:val="both"/>
      </w:pPr>
    </w:p>
    <w:p w14:paraId="75D0BB20" w14:textId="77777777" w:rsidR="00D46CC9" w:rsidRDefault="00D46CC9" w:rsidP="004C2AE6">
      <w:pPr>
        <w:jc w:val="both"/>
      </w:pPr>
    </w:p>
    <w:p w14:paraId="35B6FD2E" w14:textId="77777777" w:rsidR="00D46CC9" w:rsidRDefault="00D46CC9" w:rsidP="004C2AE6">
      <w:pPr>
        <w:jc w:val="both"/>
      </w:pPr>
    </w:p>
    <w:p w14:paraId="64AD63C9" w14:textId="77777777" w:rsidR="00D46CC9" w:rsidRDefault="00D46CC9" w:rsidP="004C2AE6">
      <w:pPr>
        <w:jc w:val="both"/>
      </w:pPr>
    </w:p>
    <w:p w14:paraId="487CDDF1" w14:textId="77777777" w:rsidR="00D46CC9" w:rsidRDefault="00D46CC9" w:rsidP="004C2AE6">
      <w:pPr>
        <w:jc w:val="both"/>
      </w:pPr>
    </w:p>
    <w:p w14:paraId="3FCFEAD3" w14:textId="77777777" w:rsidR="00D46CC9" w:rsidRDefault="00D46CC9" w:rsidP="004C2AE6">
      <w:pPr>
        <w:jc w:val="both"/>
      </w:pPr>
    </w:p>
    <w:p w14:paraId="42CA9472" w14:textId="77777777" w:rsidR="00D46CC9" w:rsidRDefault="00D46CC9" w:rsidP="004C2AE6">
      <w:pPr>
        <w:jc w:val="both"/>
      </w:pPr>
    </w:p>
    <w:p w14:paraId="5557B88A" w14:textId="77777777" w:rsidR="00D46CC9" w:rsidRDefault="00D46CC9" w:rsidP="004C2AE6">
      <w:pPr>
        <w:jc w:val="both"/>
      </w:pPr>
    </w:p>
    <w:p w14:paraId="7EBF9281" w14:textId="77777777" w:rsidR="00D46CC9" w:rsidRDefault="00D46CC9" w:rsidP="004C2AE6">
      <w:pPr>
        <w:jc w:val="both"/>
      </w:pPr>
    </w:p>
    <w:p w14:paraId="20DCC0BD" w14:textId="77777777" w:rsidR="00D46CC9" w:rsidRDefault="00D46CC9" w:rsidP="004C2AE6">
      <w:pPr>
        <w:jc w:val="both"/>
      </w:pPr>
    </w:p>
    <w:p w14:paraId="1A5CB6F2" w14:textId="77777777" w:rsidR="00D46CC9" w:rsidRDefault="00D46CC9" w:rsidP="004C2AE6">
      <w:pPr>
        <w:jc w:val="both"/>
      </w:pPr>
    </w:p>
    <w:p w14:paraId="31030021" w14:textId="77777777" w:rsidR="00D46CC9" w:rsidRDefault="00D46CC9" w:rsidP="004C2AE6">
      <w:pPr>
        <w:jc w:val="both"/>
      </w:pPr>
    </w:p>
    <w:p w14:paraId="4509ADBE" w14:textId="77777777" w:rsidR="00D46CC9" w:rsidRDefault="00D46CC9" w:rsidP="004C2AE6">
      <w:pPr>
        <w:jc w:val="both"/>
      </w:pPr>
    </w:p>
    <w:p w14:paraId="07809108" w14:textId="77777777" w:rsidR="00D46CC9" w:rsidRDefault="00D46CC9" w:rsidP="004C2AE6">
      <w:pPr>
        <w:jc w:val="both"/>
      </w:pPr>
    </w:p>
    <w:p w14:paraId="7B9BBBAB" w14:textId="77777777" w:rsidR="00D46CC9" w:rsidRDefault="00D46CC9" w:rsidP="004C2AE6">
      <w:pPr>
        <w:jc w:val="both"/>
      </w:pPr>
    </w:p>
    <w:p w14:paraId="3FCBAE2D" w14:textId="77777777" w:rsidR="00D46CC9" w:rsidRDefault="00D46CC9" w:rsidP="004C2AE6">
      <w:pPr>
        <w:jc w:val="both"/>
      </w:pPr>
    </w:p>
    <w:p w14:paraId="1FBF94A8" w14:textId="77777777" w:rsidR="00D46CC9" w:rsidRDefault="00D46CC9" w:rsidP="004C2AE6">
      <w:pPr>
        <w:jc w:val="both"/>
      </w:pPr>
    </w:p>
    <w:p w14:paraId="65D10759" w14:textId="77777777" w:rsidR="00D46CC9" w:rsidRDefault="00D46CC9" w:rsidP="004C2AE6">
      <w:pPr>
        <w:jc w:val="both"/>
      </w:pPr>
    </w:p>
    <w:p w14:paraId="54116C5F" w14:textId="77777777" w:rsidR="00D46CC9" w:rsidRDefault="00D46CC9" w:rsidP="004C2AE6">
      <w:pPr>
        <w:jc w:val="both"/>
      </w:pPr>
    </w:p>
    <w:p w14:paraId="6A6006B8" w14:textId="77777777" w:rsidR="00D46CC9" w:rsidRDefault="00D46CC9" w:rsidP="004C2AE6">
      <w:pPr>
        <w:jc w:val="both"/>
      </w:pPr>
    </w:p>
    <w:p w14:paraId="61EF60D9" w14:textId="77777777" w:rsidR="00D46CC9" w:rsidRDefault="00D46CC9" w:rsidP="004C2AE6">
      <w:pPr>
        <w:jc w:val="both"/>
      </w:pPr>
    </w:p>
    <w:p w14:paraId="7A22532C" w14:textId="77777777" w:rsidR="00D46CC9" w:rsidRDefault="00D46CC9" w:rsidP="004C2AE6">
      <w:pPr>
        <w:jc w:val="both"/>
      </w:pPr>
    </w:p>
    <w:p w14:paraId="006D03AD" w14:textId="77777777" w:rsidR="00D46CC9" w:rsidRPr="008E12B3" w:rsidRDefault="00D46CC9" w:rsidP="004C2AE6">
      <w:pPr>
        <w:jc w:val="both"/>
      </w:pPr>
    </w:p>
    <w:p w14:paraId="606B158B" w14:textId="77777777" w:rsidR="00C7594B" w:rsidRDefault="00C7594B">
      <w:pPr>
        <w:rPr>
          <w:b/>
          <w:bCs/>
        </w:rPr>
      </w:pPr>
    </w:p>
    <w:p w14:paraId="67B7FA21" w14:textId="6F7A85D1" w:rsidR="00C7594B" w:rsidRPr="00C7594B" w:rsidRDefault="00C7594B" w:rsidP="00C7594B">
      <w:pPr>
        <w:pStyle w:val="PargrafodaLista"/>
        <w:numPr>
          <w:ilvl w:val="0"/>
          <w:numId w:val="1"/>
        </w:numPr>
        <w:rPr>
          <w:u w:val="single"/>
        </w:rPr>
      </w:pPr>
      <w:r w:rsidRPr="00C7594B">
        <w:rPr>
          <w:u w:val="single"/>
        </w:rPr>
        <w:lastRenderedPageBreak/>
        <w:t>Premissas básicas</w:t>
      </w:r>
      <w:r>
        <w:rPr>
          <w:u w:val="single"/>
        </w:rPr>
        <w:t>:</w:t>
      </w:r>
      <w:r w:rsidRPr="00C7594B">
        <w:t xml:space="preserve"> página 2/3</w:t>
      </w:r>
    </w:p>
    <w:p w14:paraId="40EF6673" w14:textId="54140020" w:rsidR="00C7594B" w:rsidRDefault="00C7594B" w:rsidP="00D46C6C">
      <w:pPr>
        <w:jc w:val="both"/>
      </w:pPr>
      <w:r w:rsidRPr="00C7594B">
        <w:t>Como</w:t>
      </w:r>
      <w:r>
        <w:t xml:space="preserve"> premissas básicas vocês encontrarão o prazo contratual, a receita unitária, a distribuição de arrendamentos, informações de despesas e custos, a data-base do </w:t>
      </w:r>
      <w:proofErr w:type="gramStart"/>
      <w:r>
        <w:t xml:space="preserve">modelo, </w:t>
      </w:r>
      <w:proofErr w:type="spellStart"/>
      <w:r>
        <w:t>etc</w:t>
      </w:r>
      <w:proofErr w:type="spellEnd"/>
      <w:proofErr w:type="gramEnd"/>
      <w:r>
        <w:t xml:space="preserve"> (além disso encontrarão direcionamento de outras seções que especificam os dados de entrada para o fluxo de caixa)</w:t>
      </w:r>
    </w:p>
    <w:p w14:paraId="1CDDD911" w14:textId="77777777" w:rsidR="00C7594B" w:rsidRDefault="00C7594B" w:rsidP="00C7594B">
      <w:pPr>
        <w:keepNext/>
        <w:jc w:val="center"/>
      </w:pPr>
      <w:r>
        <w:rPr>
          <w:noProof/>
        </w:rPr>
        <w:drawing>
          <wp:inline distT="0" distB="0" distL="0" distR="0" wp14:anchorId="4120EED7" wp14:editId="27778D31">
            <wp:extent cx="4638675" cy="5191125"/>
            <wp:effectExtent l="0" t="0" r="9525" b="9525"/>
            <wp:docPr id="1012729286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29286" name="Imagem 1" descr="Uma imagem contendo Text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E7BC" w14:textId="6FF80118" w:rsidR="00C7594B" w:rsidRDefault="00C7594B" w:rsidP="00C7594B">
      <w:pPr>
        <w:pStyle w:val="Legenda"/>
        <w:jc w:val="center"/>
      </w:pPr>
      <w:r>
        <w:t xml:space="preserve">Figura </w:t>
      </w:r>
      <w:fldSimple w:instr=" SEQ Figura \* ARABIC ">
        <w:r w:rsidR="00D46CC9">
          <w:rPr>
            <w:noProof/>
          </w:rPr>
          <w:t>1</w:t>
        </w:r>
      </w:fldSimple>
      <w:r>
        <w:t>: página 2 da seção E – Financeiro, com as premissas básicas do Fluxo de Caixa</w:t>
      </w:r>
    </w:p>
    <w:p w14:paraId="56A713A6" w14:textId="77777777" w:rsidR="00C7594B" w:rsidRDefault="00C7594B" w:rsidP="00C7594B"/>
    <w:p w14:paraId="23A2D711" w14:textId="52C757E1" w:rsidR="00C7594B" w:rsidRDefault="00C7594B" w:rsidP="00C7594B">
      <w:pPr>
        <w:pStyle w:val="PargrafodaLista"/>
        <w:numPr>
          <w:ilvl w:val="0"/>
          <w:numId w:val="1"/>
        </w:numPr>
      </w:pPr>
      <w:r w:rsidRPr="00C7594B">
        <w:rPr>
          <w:u w:val="single"/>
        </w:rPr>
        <w:t>Racional de cálculo de receita:</w:t>
      </w:r>
      <w:r>
        <w:t xml:space="preserve"> página 10</w:t>
      </w:r>
    </w:p>
    <w:p w14:paraId="765226F2" w14:textId="4A56AA96" w:rsidR="00C7594B" w:rsidRDefault="00C7594B" w:rsidP="00D46C6C">
      <w:pPr>
        <w:jc w:val="both"/>
      </w:pPr>
      <w:r>
        <w:t>Para o cálculo da receita é necessário saber a demanda anual e a receita unitária em R$/</w:t>
      </w:r>
      <w:proofErr w:type="spellStart"/>
      <w:r>
        <w:t>ton</w:t>
      </w:r>
      <w:proofErr w:type="spellEnd"/>
      <w:r>
        <w:t xml:space="preserve"> de produto.</w:t>
      </w:r>
    </w:p>
    <w:p w14:paraId="79F6D08B" w14:textId="77777777" w:rsidR="00C7594B" w:rsidRDefault="00C7594B" w:rsidP="00C7594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669C957" wp14:editId="434AF273">
            <wp:extent cx="5400040" cy="3250565"/>
            <wp:effectExtent l="0" t="0" r="0" b="6985"/>
            <wp:docPr id="1804102967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102967" name="Imagem 1" descr="Tabel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5CA3" w14:textId="48C4E4E8" w:rsidR="00C7594B" w:rsidRDefault="00C7594B" w:rsidP="00C7594B">
      <w:pPr>
        <w:pStyle w:val="Legenda"/>
        <w:jc w:val="center"/>
      </w:pPr>
      <w:r>
        <w:t xml:space="preserve">Figura </w:t>
      </w:r>
      <w:fldSimple w:instr=" SEQ Figura \* ARABIC ">
        <w:r w:rsidR="00D46CC9">
          <w:rPr>
            <w:noProof/>
          </w:rPr>
          <w:t>2</w:t>
        </w:r>
      </w:fldSimple>
      <w:r>
        <w:t>: página 10 da seção E – Financeiro, com o memorial de cálculo de receitas</w:t>
      </w:r>
    </w:p>
    <w:p w14:paraId="1E3B9FB3" w14:textId="77777777" w:rsidR="00C7594B" w:rsidRDefault="00C7594B" w:rsidP="00C7594B"/>
    <w:p w14:paraId="662B246A" w14:textId="67E2FADA" w:rsidR="00C7594B" w:rsidRDefault="00C7594B" w:rsidP="00C7594B">
      <w:pPr>
        <w:pStyle w:val="PargrafodaLista"/>
        <w:numPr>
          <w:ilvl w:val="0"/>
          <w:numId w:val="1"/>
        </w:numPr>
      </w:pPr>
      <w:r w:rsidRPr="00C7594B">
        <w:rPr>
          <w:u w:val="single"/>
        </w:rPr>
        <w:t xml:space="preserve">Racional de cálculo de </w:t>
      </w:r>
      <w:r>
        <w:rPr>
          <w:u w:val="single"/>
        </w:rPr>
        <w:t>investimentos</w:t>
      </w:r>
      <w:r w:rsidRPr="00C7594B">
        <w:rPr>
          <w:u w:val="single"/>
        </w:rPr>
        <w:t>:</w:t>
      </w:r>
      <w:r>
        <w:t xml:space="preserve"> página 11</w:t>
      </w:r>
    </w:p>
    <w:p w14:paraId="2020F07E" w14:textId="448672FE" w:rsidR="00C7594B" w:rsidRDefault="00C7594B" w:rsidP="00D46C6C">
      <w:pPr>
        <w:jc w:val="both"/>
      </w:pPr>
      <w:r>
        <w:t>Para o cálculo do impacto dos investimentos é necessário saber o cronograma de dispêndios assim como a forma de depreciação destes investimentos (o que é dado de entrada do modelo, e neste caso é informado neste racional)</w:t>
      </w:r>
    </w:p>
    <w:p w14:paraId="2822986D" w14:textId="77777777" w:rsidR="00C7594B" w:rsidRDefault="00C7594B" w:rsidP="00C7594B"/>
    <w:p w14:paraId="67106D80" w14:textId="77777777" w:rsidR="00C7594B" w:rsidRDefault="00C7594B" w:rsidP="00C7594B">
      <w:pPr>
        <w:keepNext/>
        <w:jc w:val="center"/>
      </w:pPr>
      <w:r>
        <w:rPr>
          <w:noProof/>
        </w:rPr>
        <w:drawing>
          <wp:inline distT="0" distB="0" distL="0" distR="0" wp14:anchorId="487736DB" wp14:editId="23A33050">
            <wp:extent cx="5400040" cy="3227070"/>
            <wp:effectExtent l="0" t="0" r="0" b="0"/>
            <wp:docPr id="827987185" name="Imagem 1" descr="Interface gráfica do usuário, 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87185" name="Imagem 1" descr="Interface gráfica do usuário, Tabela&#10;&#10;Descrição gerada automaticamente com confiança mé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A805" w14:textId="6D19A54D" w:rsidR="00C7594B" w:rsidRDefault="00C7594B" w:rsidP="00C7594B">
      <w:pPr>
        <w:pStyle w:val="Legenda"/>
        <w:jc w:val="center"/>
      </w:pPr>
      <w:r>
        <w:t xml:space="preserve">Figura </w:t>
      </w:r>
      <w:fldSimple w:instr=" SEQ Figura \* ARABIC ">
        <w:r w:rsidR="00D46CC9">
          <w:rPr>
            <w:noProof/>
          </w:rPr>
          <w:t>3</w:t>
        </w:r>
      </w:fldSimple>
      <w:r>
        <w:t>: página 11 da seção E – Financeiro, com o memorial de cálculo de investimentos</w:t>
      </w:r>
    </w:p>
    <w:p w14:paraId="5F80B610" w14:textId="77777777" w:rsidR="00C7594B" w:rsidRDefault="00C7594B" w:rsidP="00C7594B"/>
    <w:p w14:paraId="39EE7BE3" w14:textId="7B907AF8" w:rsidR="00C7594B" w:rsidRDefault="00C7594B" w:rsidP="00C7594B">
      <w:pPr>
        <w:pStyle w:val="PargrafodaLista"/>
        <w:numPr>
          <w:ilvl w:val="0"/>
          <w:numId w:val="1"/>
        </w:numPr>
      </w:pPr>
      <w:r w:rsidRPr="00C7594B">
        <w:rPr>
          <w:u w:val="single"/>
        </w:rPr>
        <w:t>Racional de cálculo de custos e despesas:</w:t>
      </w:r>
      <w:r>
        <w:t xml:space="preserve"> página 12</w:t>
      </w:r>
    </w:p>
    <w:p w14:paraId="7BD7B46A" w14:textId="19834069" w:rsidR="00C7594B" w:rsidRDefault="00C7594B" w:rsidP="00D46C6C">
      <w:pPr>
        <w:jc w:val="both"/>
      </w:pPr>
      <w:r>
        <w:t xml:space="preserve">Para o cálculo </w:t>
      </w:r>
      <w:r w:rsidR="00D46C6C">
        <w:t>dos custos e despesas é necessário saber a alocação de custos fixos e variáveis, além de modelar os pagamentos à Autoridade Portuária (arrendamentos fixo e variável – os quais são premissas que podem ser encontradas ao longo do caderno ou em outros cadernos do Edital).</w:t>
      </w:r>
    </w:p>
    <w:p w14:paraId="0399DDDF" w14:textId="77777777" w:rsidR="00C7594B" w:rsidRDefault="00C7594B" w:rsidP="00C7594B"/>
    <w:p w14:paraId="2F92D2FA" w14:textId="77777777" w:rsidR="00C7594B" w:rsidRDefault="00C7594B" w:rsidP="00C7594B">
      <w:pPr>
        <w:keepNext/>
        <w:jc w:val="center"/>
      </w:pPr>
      <w:r>
        <w:rPr>
          <w:noProof/>
        </w:rPr>
        <w:drawing>
          <wp:inline distT="0" distB="0" distL="0" distR="0" wp14:anchorId="56C75683" wp14:editId="0A747EAC">
            <wp:extent cx="5400040" cy="3237865"/>
            <wp:effectExtent l="0" t="0" r="0" b="635"/>
            <wp:docPr id="147050220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02201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9AF8C" w14:textId="1508930B" w:rsidR="00C7594B" w:rsidRDefault="00C7594B" w:rsidP="00C7594B">
      <w:pPr>
        <w:pStyle w:val="Legenda"/>
        <w:jc w:val="center"/>
      </w:pPr>
      <w:r>
        <w:t xml:space="preserve">Figura </w:t>
      </w:r>
      <w:fldSimple w:instr=" SEQ Figura \* ARABIC ">
        <w:r w:rsidR="00D46CC9">
          <w:rPr>
            <w:noProof/>
          </w:rPr>
          <w:t>4</w:t>
        </w:r>
      </w:fldSimple>
      <w:r>
        <w:t>: página 12 da seção E – Financeiro, com o memorial de cálculo de custos e despesas</w:t>
      </w:r>
    </w:p>
    <w:p w14:paraId="1A364D46" w14:textId="77777777" w:rsidR="00D46C6C" w:rsidRDefault="00D46C6C" w:rsidP="00D46C6C"/>
    <w:p w14:paraId="0190C275" w14:textId="04AA33A5" w:rsidR="00D46C6C" w:rsidRDefault="00D46C6C" w:rsidP="00D46C6C">
      <w:pPr>
        <w:pStyle w:val="PargrafodaLista"/>
        <w:numPr>
          <w:ilvl w:val="0"/>
          <w:numId w:val="1"/>
        </w:numPr>
      </w:pPr>
      <w:r w:rsidRPr="00D46C6C">
        <w:rPr>
          <w:u w:val="single"/>
        </w:rPr>
        <w:t>Demonstrações financeiras (contém linhas para construção do DRE, Fluxo de Caixa e Balanço Patrimonial):</w:t>
      </w:r>
      <w:r>
        <w:t xml:space="preserve"> páginas 14/15 </w:t>
      </w:r>
    </w:p>
    <w:p w14:paraId="624C7423" w14:textId="6851D2F4" w:rsidR="00D46C6C" w:rsidRDefault="00D46C6C" w:rsidP="00D46C6C">
      <w:pPr>
        <w:jc w:val="both"/>
      </w:pPr>
      <w:r>
        <w:t>Todos os racionais utilizados nos itens anteriores serão aplicados para a concepção dos financeiros da operação, com o objetivo de se chegar ao VPL final de projeto através do desconto dos fluxos de caixa anuais. A construção do fluxo de caixa é mostrada nas últimas duas páginas do documento e é possível enxergar as premissas utilizadas linha a linha.</w:t>
      </w:r>
    </w:p>
    <w:p w14:paraId="52B15858" w14:textId="77777777" w:rsidR="00D46C6C" w:rsidRDefault="00D46C6C" w:rsidP="00D46C6C">
      <w:pPr>
        <w:jc w:val="both"/>
      </w:pPr>
    </w:p>
    <w:p w14:paraId="3FA08C44" w14:textId="77777777" w:rsidR="00D46C6C" w:rsidRDefault="00D46C6C" w:rsidP="00D46C6C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9484708" wp14:editId="7B855EC0">
            <wp:extent cx="5400040" cy="3293745"/>
            <wp:effectExtent l="0" t="0" r="0" b="1905"/>
            <wp:docPr id="2100149151" name="Imagem 1" descr="Interface gráfica do usuário, Aplicativo, Tabela, Exce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149151" name="Imagem 1" descr="Interface gráfica do usuário, Aplicativo, Tabela, Excel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902D" w14:textId="72B65D72" w:rsidR="00D46C6C" w:rsidRDefault="00D46C6C" w:rsidP="00D46C6C">
      <w:pPr>
        <w:pStyle w:val="Legenda"/>
        <w:jc w:val="center"/>
      </w:pPr>
      <w:r>
        <w:t xml:space="preserve">Figura </w:t>
      </w:r>
      <w:fldSimple w:instr=" SEQ Figura \* ARABIC ">
        <w:r w:rsidR="00D46CC9">
          <w:rPr>
            <w:noProof/>
          </w:rPr>
          <w:t>5</w:t>
        </w:r>
      </w:fldSimple>
      <w:r>
        <w:t>: página 14 da seção E – Financeiro, com racional financeiro (1/2)</w:t>
      </w:r>
    </w:p>
    <w:p w14:paraId="2090FB86" w14:textId="77777777" w:rsidR="00D46C6C" w:rsidRDefault="00D46C6C" w:rsidP="00D46C6C"/>
    <w:p w14:paraId="23809E80" w14:textId="77777777" w:rsidR="00D46C6C" w:rsidRDefault="00D46C6C" w:rsidP="00D46C6C">
      <w:pPr>
        <w:keepNext/>
        <w:jc w:val="center"/>
      </w:pPr>
      <w:r>
        <w:rPr>
          <w:noProof/>
        </w:rPr>
        <w:drawing>
          <wp:inline distT="0" distB="0" distL="0" distR="0" wp14:anchorId="7F91C6A0" wp14:editId="2FB2DB1E">
            <wp:extent cx="5400040" cy="3358515"/>
            <wp:effectExtent l="0" t="0" r="0" b="0"/>
            <wp:docPr id="1991046356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046356" name="Imagem 1" descr="Tabel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545F" w14:textId="52F2F9DC" w:rsidR="00D46C6C" w:rsidRDefault="00D46C6C" w:rsidP="00D46C6C">
      <w:pPr>
        <w:pStyle w:val="Legenda"/>
        <w:jc w:val="center"/>
      </w:pPr>
      <w:r>
        <w:t xml:space="preserve">Figura </w:t>
      </w:r>
      <w:fldSimple w:instr=" SEQ Figura \* ARABIC ">
        <w:r w:rsidR="00D46CC9">
          <w:rPr>
            <w:noProof/>
          </w:rPr>
          <w:t>6</w:t>
        </w:r>
      </w:fldSimple>
      <w:r>
        <w:t>: página 14 da seção E – Financeiro, com racional financeiro (2/2)</w:t>
      </w:r>
    </w:p>
    <w:p w14:paraId="0AC56386" w14:textId="77777777" w:rsidR="00B96477" w:rsidRDefault="00B96477" w:rsidP="00B96477"/>
    <w:p w14:paraId="474FFB1E" w14:textId="4A11AAA5" w:rsidR="00B96477" w:rsidRDefault="00B96477" w:rsidP="00B96477">
      <w:r>
        <w:t>No meio da planilha tem uma linha Fluxo de Caixa do Projeto Após Imposto</w:t>
      </w:r>
    </w:p>
    <w:p w14:paraId="6288F300" w14:textId="1A151B9E" w:rsidR="00B96477" w:rsidRPr="00B96477" w:rsidRDefault="00B96477" w:rsidP="00B96477">
      <w:r>
        <w:t>Essa linha deve ser descontada ao custo de capital, de 8,03% a.a. real (isto é, o modelo é real, não tem inflação), fornecendo o VPL do projeto</w:t>
      </w:r>
    </w:p>
    <w:sectPr w:rsidR="00B96477" w:rsidRPr="00B96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C16"/>
    <w:multiLevelType w:val="hybridMultilevel"/>
    <w:tmpl w:val="62C217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26DA3"/>
    <w:multiLevelType w:val="hybridMultilevel"/>
    <w:tmpl w:val="C9287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57F3C"/>
    <w:multiLevelType w:val="hybridMultilevel"/>
    <w:tmpl w:val="4B7C4C3A"/>
    <w:lvl w:ilvl="0" w:tplc="9C34E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852695">
    <w:abstractNumId w:val="2"/>
  </w:num>
  <w:num w:numId="2" w16cid:durableId="2025862336">
    <w:abstractNumId w:val="0"/>
  </w:num>
  <w:num w:numId="3" w16cid:durableId="37069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B"/>
    <w:rsid w:val="001D4310"/>
    <w:rsid w:val="004C2AE6"/>
    <w:rsid w:val="006C6286"/>
    <w:rsid w:val="008E12B3"/>
    <w:rsid w:val="00B96477"/>
    <w:rsid w:val="00C7594B"/>
    <w:rsid w:val="00D46C6C"/>
    <w:rsid w:val="00D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FE64"/>
  <w15:chartTrackingRefBased/>
  <w15:docId w15:val="{D1BD69BC-6002-4110-9733-E6DE3F4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46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594B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C759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46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C2A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v.br/antaq/pt-br/assuntos/leilo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de Faria Magalhaes | Terrafirma</dc:creator>
  <cp:keywords/>
  <dc:description/>
  <cp:lastModifiedBy>Marcos Pinto | Terrafirma</cp:lastModifiedBy>
  <cp:revision>2</cp:revision>
  <cp:lastPrinted>2023-11-01T19:39:00Z</cp:lastPrinted>
  <dcterms:created xsi:type="dcterms:W3CDTF">2023-11-01T20:42:00Z</dcterms:created>
  <dcterms:modified xsi:type="dcterms:W3CDTF">2023-11-01T20:42:00Z</dcterms:modified>
</cp:coreProperties>
</file>