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Profs. responsáveis: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Betzabeth Slater Villar e Eduardo Purgatto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1"/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Equipe de monitores: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Nina Martins Chaves, Joana Reyes Colli</w:t>
      </w:r>
    </w:p>
    <w:p w:rsidR="00000000" w:rsidDel="00000000" w:rsidP="00000000" w:rsidRDefault="00000000" w:rsidRPr="00000000" w14:paraId="00000003">
      <w:pPr>
        <w:keepNext w:val="1"/>
        <w:tabs>
          <w:tab w:val="left" w:leader="none" w:pos="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Aluno PAE: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Adélcia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Almeida e Luana Rocha de Araújo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Estagiários: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Gustavo Patrício e Giulia Silva</w:t>
      </w:r>
    </w:p>
    <w:p w:rsidR="00000000" w:rsidDel="00000000" w:rsidP="00000000" w:rsidRDefault="00000000" w:rsidRPr="00000000" w14:paraId="00000005">
      <w:pPr>
        <w:keepNext w:val="1"/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Funcionários: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Marcia Souza e Maria de Lurdes </w:t>
      </w:r>
    </w:p>
    <w:p w:rsidR="00000000" w:rsidDel="00000000" w:rsidP="00000000" w:rsidRDefault="00000000" w:rsidRPr="00000000" w14:paraId="00000006">
      <w:pPr>
        <w:keepNext w:val="1"/>
        <w:tabs>
          <w:tab w:val="left" w:leader="none" w:pos="0"/>
        </w:tabs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Voluntários: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Bruna Delgado Arid e Samia Haje Nunes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tabs>
          <w:tab w:val="left" w:leader="none" w:pos="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tabs>
          <w:tab w:val="left" w:leader="none" w:pos="0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Aula X - Tema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before="200" w:line="360" w:lineRule="auto"/>
        <w:jc w:val="both"/>
        <w:rPr>
          <w:rFonts w:ascii="Times New Roman" w:cs="Times New Roman" w:eastAsia="Times New Roman" w:hAnsi="Times New Roman"/>
          <w:b w:val="1"/>
          <w:color w:val="98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u w:val="single"/>
          <w:rtl w:val="0"/>
        </w:rPr>
        <w:t xml:space="preserve">Informações gerais:</w:t>
      </w:r>
    </w:p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d4j0lt6bk4n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e hora: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mzy0hk52q1c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Canal de comunicação: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Fórum do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Moodle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 Disciplina.</w:t>
      </w:r>
    </w:p>
    <w:p w:rsidR="00000000" w:rsidDel="00000000" w:rsidP="00000000" w:rsidRDefault="00000000" w:rsidRPr="00000000" w14:paraId="0000000E">
      <w:pPr>
        <w:widowControl w:val="0"/>
        <w:spacing w:before="20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de entrega: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Prazo para correção: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correção será feita e disponibilizada via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Moodle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em até uma semana após a entrega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u w:val="single"/>
          <w:rtl w:val="0"/>
        </w:rPr>
        <w:t xml:space="preserve">Atividade obrigatória: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Faculdade de Saúde Pública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-819139</wp:posOffset>
          </wp:positionH>
          <wp:positionV relativeFrom="paragraph">
            <wp:posOffset>-342892</wp:posOffset>
          </wp:positionV>
          <wp:extent cx="913257" cy="895350"/>
          <wp:effectExtent b="0" l="0" r="0" t="0"/>
          <wp:wrapSquare wrapText="bothSides" distB="0" distT="0" distL="114300" distR="114300"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257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5667375</wp:posOffset>
          </wp:positionH>
          <wp:positionV relativeFrom="paragraph">
            <wp:posOffset>-280980</wp:posOffset>
          </wp:positionV>
          <wp:extent cx="832019" cy="766763"/>
          <wp:effectExtent b="0" l="0" r="0" t="0"/>
          <wp:wrapSquare wrapText="bothSides" distB="0" distT="0" distL="114300" distR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2019" cy="7667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8601075</wp:posOffset>
          </wp:positionH>
          <wp:positionV relativeFrom="paragraph">
            <wp:posOffset>-342892</wp:posOffset>
          </wp:positionV>
          <wp:extent cx="971550" cy="891330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891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Departamento de Nutrição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Programa de Graduação em Nutrição</w:t>
    </w:r>
  </w:p>
  <w:p w:rsidR="00000000" w:rsidDel="00000000" w:rsidP="00000000" w:rsidRDefault="00000000" w:rsidRPr="00000000" w14:paraId="00000014">
    <w:pPr>
      <w:keepNext w:val="1"/>
      <w:numPr>
        <w:ilvl w:val="1"/>
        <w:numId w:val="1"/>
      </w:numPr>
      <w:tabs>
        <w:tab w:val="left" w:leader="none" w:pos="0"/>
      </w:tabs>
      <w:spacing w:line="240" w:lineRule="auto"/>
      <w:ind w:left="0" w:firstLine="0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highlight w:val="white"/>
        <w:rtl w:val="0"/>
      </w:rPr>
      <w:t xml:space="preserve">HNT – 0206 Procedimentos e Técnicas Culinárias Aplicadas à Nutrição 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numPr>
        <w:ilvl w:val="1"/>
        <w:numId w:val="1"/>
      </w:numPr>
      <w:tabs>
        <w:tab w:val="left" w:leader="none" w:pos="0"/>
      </w:tabs>
      <w:spacing w:line="240" w:lineRule="auto"/>
      <w:ind w:left="0" w:firstLine="0"/>
      <w:jc w:val="center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Xd6qIlNqiOvceRtJxV0V7dbUAw==">CgMxLjAyCGguZ2pkZ3hzMg5oLmQ0ajBsdDZiazRuZTIOaC5tenkwaGs1MnExY2Y4AHIhMW9uOUNmWVJ0QmRiZmh4UDM5Z2xSVTlyNUxPeE1fZEl5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